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477D" w14:textId="77777777" w:rsidR="00E02438" w:rsidRDefault="00E02438" w:rsidP="00587092">
      <w:pPr>
        <w:rPr>
          <w:b/>
          <w:bCs/>
          <w:lang w:val="es-419"/>
        </w:rPr>
      </w:pPr>
    </w:p>
    <w:p w14:paraId="70ADF329" w14:textId="621CE82B" w:rsidR="00F22DEC" w:rsidRPr="00DD6911" w:rsidRDefault="00B7474A" w:rsidP="00F22DEC">
      <w:pPr>
        <w:rPr>
          <w:lang w:val="es-419"/>
        </w:rPr>
      </w:pPr>
      <w:r>
        <w:rPr>
          <w:b/>
          <w:bCs/>
          <w:lang w:val="es-419"/>
        </w:rPr>
        <w:t>ASUNTO:</w:t>
      </w:r>
      <w:r w:rsidR="00F22DEC" w:rsidRPr="00EE1F0F">
        <w:rPr>
          <w:b/>
          <w:bCs/>
          <w:lang w:val="es-419"/>
        </w:rPr>
        <w:t xml:space="preserve"> Deuda Privada del Reino Unido: Renta Fija de Alto Rendimiento – Seven Stars Legal Funding (17,5% anual)</w:t>
      </w:r>
      <w:r w:rsidR="00F22DEC" w:rsidRPr="00F22DEC">
        <w:rPr>
          <w:lang w:val="es-419"/>
        </w:rPr>
        <w:br/>
      </w:r>
      <w:r w:rsidR="00F22DEC" w:rsidRPr="00F22DEC">
        <w:rPr>
          <w:lang w:val="es-419"/>
        </w:rPr>
        <w:br/>
        <w:t xml:space="preserve">Continuando con nuestra discusión, este correo electrónico presentará una única opción de inversión en Deuda Privada en el sector de Financiamiento de Litigios Basados en Precedentes en el Reino Unido, con </w:t>
      </w:r>
      <w:r w:rsidR="00F22DEC" w:rsidRPr="00EE1F0F">
        <w:rPr>
          <w:b/>
          <w:bCs/>
          <w:lang w:val="es-419"/>
        </w:rPr>
        <w:t>Seven Stars Legal Funding</w:t>
      </w:r>
      <w:r w:rsidR="00F22DEC" w:rsidRPr="00F22DEC">
        <w:rPr>
          <w:lang w:val="es-419"/>
        </w:rPr>
        <w:t>.</w:t>
      </w:r>
      <w:r w:rsidR="00F22DEC" w:rsidRPr="00F22DEC">
        <w:rPr>
          <w:lang w:val="es-419"/>
        </w:rPr>
        <w:br/>
      </w:r>
      <w:r w:rsidR="00F22DEC" w:rsidRPr="00F22DEC">
        <w:rPr>
          <w:lang w:val="es-419"/>
        </w:rPr>
        <w:br/>
      </w:r>
      <w:r w:rsidR="00F22DEC" w:rsidRPr="00CE0620">
        <w:rPr>
          <w:i/>
          <w:iCs/>
          <w:lang w:val="es-419"/>
        </w:rPr>
        <w:t>El sector de financiamiento de litigios en el Reino Unido se ha cuadruplicado en los últimos 12 años y Swiss RE estima que la capitalización del sector es de alrededor de $2,7 mil millones, sumando las 15 principales empresas de litigios del Reino Unido.</w:t>
      </w:r>
      <w:r w:rsidR="00F22DEC" w:rsidRPr="00F22DEC">
        <w:rPr>
          <w:lang w:val="es-419"/>
        </w:rPr>
        <w:br/>
      </w:r>
      <w:r w:rsidR="00F22DEC" w:rsidRPr="00F22DEC">
        <w:rPr>
          <w:lang w:val="es-419"/>
        </w:rPr>
        <w:br/>
      </w:r>
      <w:r w:rsidR="00F22DEC" w:rsidRPr="00EE1F0F">
        <w:rPr>
          <w:b/>
          <w:bCs/>
          <w:lang w:val="es-419"/>
        </w:rPr>
        <w:t>Seven Stars</w:t>
      </w:r>
      <w:r w:rsidR="00F22DEC" w:rsidRPr="00F22DEC">
        <w:rPr>
          <w:lang w:val="es-419"/>
        </w:rPr>
        <w:t xml:space="preserve"> ha emitido una serie de notas de préstamo por £50 millones para financiar casos de litigio basados en precedentes en el Reino Unido.</w:t>
      </w:r>
      <w:r w:rsidR="00F22DEC" w:rsidRPr="00F22DEC">
        <w:rPr>
          <w:lang w:val="es-419"/>
        </w:rPr>
        <w:br/>
      </w:r>
      <w:r w:rsidR="00F22DEC" w:rsidRPr="00F22DEC">
        <w:rPr>
          <w:lang w:val="es-419"/>
        </w:rPr>
        <w:br/>
      </w:r>
      <w:r w:rsidR="00F22DEC" w:rsidRPr="00EE1F0F">
        <w:rPr>
          <w:b/>
          <w:bCs/>
          <w:lang w:val="es-419"/>
        </w:rPr>
        <w:t>La serie de Notas de Préstamo de Seven Stars ofrece tasas de interés fijas de 17,5% anual por un plazo establecido de 36 meses.</w:t>
      </w:r>
    </w:p>
    <w:p w14:paraId="7D1488F3" w14:textId="77777777" w:rsidR="00DD6911" w:rsidRPr="00852464" w:rsidRDefault="00DD6911" w:rsidP="00587092">
      <w:pPr>
        <w:rPr>
          <w:b/>
          <w:bCs/>
          <w:lang w:val="es-419"/>
        </w:rPr>
      </w:pPr>
    </w:p>
    <w:p w14:paraId="19BD1911" w14:textId="07D1EF5D" w:rsidR="00587092" w:rsidRPr="00587092" w:rsidRDefault="00587092" w:rsidP="00587092">
      <w:pPr>
        <w:rPr>
          <w:lang w:val="es-MX"/>
        </w:rPr>
      </w:pPr>
      <w:r w:rsidRPr="00587092">
        <w:rPr>
          <w:b/>
          <w:bCs/>
          <w:lang w:val="es-MX"/>
        </w:rPr>
        <w:t>Seven Stars</w:t>
      </w:r>
      <w:r w:rsidRPr="00587092">
        <w:rPr>
          <w:lang w:val="es-MX"/>
        </w:rPr>
        <w:t> </w:t>
      </w:r>
      <w:r w:rsidRPr="00B22145">
        <w:rPr>
          <w:b/>
          <w:bCs/>
          <w:lang w:val="es-MX"/>
        </w:rPr>
        <w:t>Legal Funding</w:t>
      </w:r>
      <w:r w:rsidRPr="00587092">
        <w:rPr>
          <w:lang w:val="es-MX"/>
        </w:rPr>
        <w:t xml:space="preserve"> se constituyó como una empresa de inversión cuyo objetivo es obtener rendimientos líderes en el mercado para los inversores, operando en el prestigioso y regulado sector de los servicios jurídicos del Reino Unido, y concretamente en la financiación de costes de litigios y la generación de casos de litigios.</w:t>
      </w:r>
      <w:r w:rsidR="00123B52">
        <w:rPr>
          <w:lang w:val="es-MX"/>
        </w:rPr>
        <w:br/>
      </w:r>
    </w:p>
    <w:p w14:paraId="2C3F0D99" w14:textId="5DBAABFD" w:rsidR="00587092" w:rsidRPr="00587092" w:rsidRDefault="00BF421A" w:rsidP="00587092">
      <w:pPr>
        <w:rPr>
          <w:lang w:val="es-MX"/>
        </w:rPr>
      </w:pPr>
      <w:r>
        <w:rPr>
          <w:lang w:val="es-MX"/>
        </w:rPr>
        <w:t>Desde</w:t>
      </w:r>
      <w:r w:rsidR="00587092" w:rsidRPr="00587092">
        <w:rPr>
          <w:lang w:val="es-MX"/>
        </w:rPr>
        <w:t xml:space="preserve"> 202</w:t>
      </w:r>
      <w:r>
        <w:rPr>
          <w:lang w:val="es-MX"/>
        </w:rPr>
        <w:t>3</w:t>
      </w:r>
      <w:r w:rsidR="00587092" w:rsidRPr="00587092">
        <w:rPr>
          <w:lang w:val="es-MX"/>
        </w:rPr>
        <w:t xml:space="preserve"> la empresa solo invertirá en el Reino Unido y concederá préstamos a empresas </w:t>
      </w:r>
      <w:r w:rsidR="00501FD4">
        <w:rPr>
          <w:lang w:val="es-MX"/>
        </w:rPr>
        <w:t xml:space="preserve">reguladas </w:t>
      </w:r>
      <w:r w:rsidR="00587092" w:rsidRPr="00587092">
        <w:rPr>
          <w:lang w:val="es-MX"/>
        </w:rPr>
        <w:t>que operen en el sector jurídico británico, reconocido mundialmente como una de las jurisdicciones más destacadas en materia de servicios jurídicos. Seven Stars fue incubada por un exitoso equipo de financiación de litigios, con un historial increíble, que identificó una oportunidad de financiación muy sustancial que superaba con creces sus necesidades existentes.</w:t>
      </w:r>
    </w:p>
    <w:p w14:paraId="09F97689" w14:textId="77777777" w:rsidR="00587092" w:rsidRPr="00587092" w:rsidRDefault="00587092" w:rsidP="00587092">
      <w:pPr>
        <w:rPr>
          <w:lang w:val="es-MX"/>
        </w:rPr>
      </w:pPr>
    </w:p>
    <w:p w14:paraId="424511FA" w14:textId="29985C00" w:rsidR="00587092" w:rsidRPr="00587092" w:rsidRDefault="00587092" w:rsidP="00587092">
      <w:pPr>
        <w:rPr>
          <w:lang w:val="es-MX"/>
        </w:rPr>
      </w:pPr>
      <w:r w:rsidRPr="00587092">
        <w:rPr>
          <w:lang w:val="es-MX"/>
        </w:rPr>
        <w:t>En consecuencia, Seven Stars se creó para convertirse en un importante financiador independiente de costes de litigios no bancario. A finales de 202</w:t>
      </w:r>
      <w:r w:rsidR="00501FD4">
        <w:rPr>
          <w:lang w:val="es-MX"/>
        </w:rPr>
        <w:t>5</w:t>
      </w:r>
      <w:r w:rsidRPr="00587092">
        <w:rPr>
          <w:lang w:val="es-MX"/>
        </w:rPr>
        <w:t xml:space="preserve">, había recaudado £40 millones de libras esterlinas, financiado más de </w:t>
      </w:r>
      <w:r w:rsidR="001527E2">
        <w:rPr>
          <w:lang w:val="es-MX"/>
        </w:rPr>
        <w:t>56</w:t>
      </w:r>
      <w:r w:rsidRPr="00587092">
        <w:rPr>
          <w:lang w:val="es-MX"/>
        </w:rPr>
        <w:t xml:space="preserve"> 000 casos de litigios</w:t>
      </w:r>
      <w:r w:rsidR="001931D1">
        <w:rPr>
          <w:lang w:val="es-MX"/>
        </w:rPr>
        <w:t xml:space="preserve"> y ha asegurado</w:t>
      </w:r>
      <w:r w:rsidRPr="00587092">
        <w:rPr>
          <w:lang w:val="es-MX"/>
        </w:rPr>
        <w:t xml:space="preserve"> adicional</w:t>
      </w:r>
      <w:r w:rsidR="001931D1">
        <w:rPr>
          <w:lang w:val="es-MX"/>
        </w:rPr>
        <w:t>mente</w:t>
      </w:r>
      <w:r w:rsidRPr="00587092">
        <w:rPr>
          <w:lang w:val="es-MX"/>
        </w:rPr>
        <w:t xml:space="preserve"> </w:t>
      </w:r>
      <w:r w:rsidR="001931D1">
        <w:rPr>
          <w:lang w:val="es-MX"/>
        </w:rPr>
        <w:t>otros</w:t>
      </w:r>
      <w:r w:rsidR="00A930CF" w:rsidRPr="00A930CF">
        <w:rPr>
          <w:lang w:val="es-MX"/>
        </w:rPr>
        <w:t>150.000 casos. La relación préstamo-valor actual es de 2,5:1. Seven Stars prestará hasta un máximo del 60% del valor de la cartera de litigios del bufete.</w:t>
      </w:r>
    </w:p>
    <w:p w14:paraId="6ECF841A" w14:textId="77777777" w:rsidR="00587092" w:rsidRDefault="00587092" w:rsidP="00587092">
      <w:pPr>
        <w:rPr>
          <w:lang w:val="es-MX"/>
        </w:rPr>
      </w:pPr>
    </w:p>
    <w:p w14:paraId="4E7B83C1" w14:textId="1922F4EA" w:rsidR="00605FEE" w:rsidRDefault="00157AB7" w:rsidP="00587092">
      <w:pPr>
        <w:rPr>
          <w:b/>
          <w:bCs/>
          <w:lang w:val="es-419"/>
        </w:rPr>
      </w:pPr>
      <w:r w:rsidRPr="00157AB7">
        <w:rPr>
          <w:b/>
          <w:bCs/>
          <w:lang w:val="es-MX"/>
        </w:rPr>
        <w:t>Características</w:t>
      </w:r>
      <w:r w:rsidR="00605FEE" w:rsidRPr="00157AB7">
        <w:rPr>
          <w:b/>
          <w:bCs/>
          <w:lang w:val="es-MX"/>
        </w:rPr>
        <w:t xml:space="preserve"> </w:t>
      </w:r>
      <w:r w:rsidRPr="00157AB7">
        <w:rPr>
          <w:b/>
          <w:bCs/>
          <w:lang w:val="es-MX"/>
        </w:rPr>
        <w:t>de la Nota de Prestám</w:t>
      </w:r>
      <w:r w:rsidRPr="00157AB7">
        <w:rPr>
          <w:b/>
          <w:bCs/>
          <w:lang w:val="es-419"/>
        </w:rPr>
        <w:t>o (Serie 1</w:t>
      </w:r>
      <w:r w:rsidR="00932CC5">
        <w:rPr>
          <w:b/>
          <w:bCs/>
          <w:lang w:val="es-419"/>
        </w:rPr>
        <w:t xml:space="preserve"> y Serie 4</w:t>
      </w:r>
      <w:r w:rsidRPr="00157AB7">
        <w:rPr>
          <w:b/>
          <w:bCs/>
          <w:lang w:val="es-419"/>
        </w:rPr>
        <w:t>)</w:t>
      </w:r>
    </w:p>
    <w:p w14:paraId="0C97C9AF" w14:textId="1D8195D6"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Tipo de Bono:</w:t>
      </w:r>
      <w:r w:rsidRPr="35DF6C80">
        <w:rPr>
          <w:rFonts w:ascii="Aptos" w:eastAsia="Aptos" w:hAnsi="Aptos" w:cs="Aptos"/>
          <w:color w:val="000000" w:themeColor="text1"/>
          <w:sz w:val="21"/>
          <w:szCs w:val="21"/>
          <w:lang w:val="es-419"/>
        </w:rPr>
        <w:t xml:space="preserve"> Senior Secured Loan Note</w:t>
      </w:r>
    </w:p>
    <w:p w14:paraId="794345D7" w14:textId="77407905" w:rsidR="6F738100" w:rsidRDefault="6F738100" w:rsidP="35DF6C80">
      <w:pPr>
        <w:pStyle w:val="ListParagraph"/>
        <w:numPr>
          <w:ilvl w:val="0"/>
          <w:numId w:val="1"/>
        </w:numPr>
        <w:shd w:val="clear" w:color="auto" w:fill="FFFFFF" w:themeFill="background1"/>
        <w:spacing w:after="0"/>
        <w:rPr>
          <w:rFonts w:ascii="Aptos" w:eastAsia="Aptos" w:hAnsi="Aptos" w:cs="Aptos"/>
          <w:b/>
          <w:bCs/>
          <w:color w:val="000000" w:themeColor="text1"/>
          <w:sz w:val="21"/>
          <w:szCs w:val="21"/>
          <w:lang w:val="es-419"/>
        </w:rPr>
      </w:pPr>
      <w:r w:rsidRPr="007E5484">
        <w:rPr>
          <w:rFonts w:ascii="Aptos" w:eastAsia="Aptos" w:hAnsi="Aptos" w:cs="Aptos"/>
          <w:b/>
          <w:color w:val="000000" w:themeColor="text1"/>
          <w:sz w:val="21"/>
          <w:szCs w:val="21"/>
          <w:u w:val="single"/>
          <w:lang w:val="es-419"/>
        </w:rPr>
        <w:t>Rendimiento Serie 1:</w:t>
      </w:r>
      <w:r w:rsidRPr="35DF6C80">
        <w:rPr>
          <w:rFonts w:ascii="Aptos" w:eastAsia="Aptos" w:hAnsi="Aptos" w:cs="Aptos"/>
          <w:b/>
          <w:bCs/>
          <w:color w:val="000000" w:themeColor="text1"/>
          <w:sz w:val="21"/>
          <w:szCs w:val="21"/>
          <w:lang w:val="es-419"/>
        </w:rPr>
        <w:t xml:space="preserve"> </w:t>
      </w:r>
      <w:r w:rsidRPr="007E5484">
        <w:rPr>
          <w:rFonts w:ascii="Aptos" w:eastAsia="Aptos" w:hAnsi="Aptos" w:cs="Aptos"/>
          <w:color w:val="000000" w:themeColor="text1"/>
          <w:sz w:val="21"/>
          <w:szCs w:val="21"/>
          <w:lang w:val="es-419"/>
        </w:rPr>
        <w:t>17.5% anual</w:t>
      </w:r>
    </w:p>
    <w:p w14:paraId="61983F53" w14:textId="5443A92F"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Fecha de Vencimiento:</w:t>
      </w:r>
      <w:r w:rsidRPr="35DF6C80">
        <w:rPr>
          <w:rFonts w:ascii="Aptos" w:eastAsia="Aptos" w:hAnsi="Aptos" w:cs="Aptos"/>
          <w:color w:val="000000" w:themeColor="text1"/>
          <w:sz w:val="21"/>
          <w:szCs w:val="21"/>
          <w:lang w:val="es-419"/>
        </w:rPr>
        <w:t xml:space="preserve"> 31 de Diciembre del 2028</w:t>
      </w:r>
    </w:p>
    <w:p w14:paraId="770303A3" w14:textId="590BC3ED"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Min Inversión:</w:t>
      </w:r>
      <w:r w:rsidRPr="35DF6C80">
        <w:rPr>
          <w:rFonts w:ascii="Aptos" w:eastAsia="Aptos" w:hAnsi="Aptos" w:cs="Aptos"/>
          <w:color w:val="000000" w:themeColor="text1"/>
          <w:sz w:val="21"/>
          <w:szCs w:val="21"/>
          <w:lang w:val="es-419"/>
        </w:rPr>
        <w:t xml:space="preserve"> 50,000 USD </w:t>
      </w:r>
      <w:r w:rsidR="00C615F2">
        <w:rPr>
          <w:rFonts w:ascii="Aptos" w:eastAsia="Aptos" w:hAnsi="Aptos" w:cs="Aptos"/>
          <w:color w:val="000000" w:themeColor="text1"/>
          <w:sz w:val="21"/>
          <w:szCs w:val="21"/>
          <w:lang w:val="es-419"/>
        </w:rPr>
        <w:t xml:space="preserve">/ GBP / CHF / </w:t>
      </w:r>
      <w:r w:rsidR="00B61C10">
        <w:rPr>
          <w:rFonts w:ascii="Aptos" w:eastAsia="Aptos" w:hAnsi="Aptos" w:cs="Aptos"/>
          <w:color w:val="000000" w:themeColor="text1"/>
          <w:sz w:val="21"/>
          <w:szCs w:val="21"/>
          <w:lang w:val="es-419"/>
        </w:rPr>
        <w:t>USDC</w:t>
      </w:r>
    </w:p>
    <w:p w14:paraId="58CDF74C" w14:textId="34FF9F8C"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Frecuencia de pago:</w:t>
      </w:r>
      <w:r w:rsidRPr="35DF6C80">
        <w:rPr>
          <w:rFonts w:ascii="Aptos" w:eastAsia="Aptos" w:hAnsi="Aptos" w:cs="Aptos"/>
          <w:color w:val="000000" w:themeColor="text1"/>
          <w:sz w:val="21"/>
          <w:szCs w:val="21"/>
          <w:lang w:val="es-419"/>
        </w:rPr>
        <w:t xml:space="preserve"> semestral 30 Junio y 31 Diciembre (8.75%)</w:t>
      </w:r>
    </w:p>
    <w:p w14:paraId="1AED25F0" w14:textId="43017A0F" w:rsidR="00466966" w:rsidRDefault="00466966" w:rsidP="00466966">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00C2578D">
        <w:rPr>
          <w:rFonts w:ascii="Aptos" w:eastAsia="Aptos" w:hAnsi="Aptos" w:cs="Aptos"/>
          <w:b/>
          <w:color w:val="000000" w:themeColor="text1"/>
          <w:sz w:val="21"/>
          <w:szCs w:val="21"/>
          <w:u w:val="single"/>
          <w:lang w:val="es-419"/>
        </w:rPr>
        <w:t>Plazo</w:t>
      </w:r>
      <w:r w:rsidRPr="00C2578D">
        <w:rPr>
          <w:rFonts w:ascii="Aptos" w:eastAsia="Aptos" w:hAnsi="Aptos" w:cs="Aptos"/>
          <w:b/>
          <w:bCs/>
          <w:color w:val="000000" w:themeColor="text1"/>
          <w:sz w:val="21"/>
          <w:szCs w:val="21"/>
          <w:u w:val="single"/>
          <w:lang w:val="es-419"/>
        </w:rPr>
        <w:t xml:space="preserve"> y Rendimiento Serie 4</w:t>
      </w:r>
      <w:r>
        <w:rPr>
          <w:rFonts w:ascii="Aptos" w:eastAsia="Aptos" w:hAnsi="Aptos" w:cs="Aptos"/>
          <w:b/>
          <w:bCs/>
          <w:color w:val="000000" w:themeColor="text1"/>
          <w:sz w:val="21"/>
          <w:szCs w:val="21"/>
          <w:u w:val="single"/>
          <w:lang w:val="es-419"/>
        </w:rPr>
        <w:t>A</w:t>
      </w:r>
      <w:r w:rsidRPr="007E5484">
        <w:rPr>
          <w:rFonts w:ascii="Aptos" w:eastAsia="Aptos" w:hAnsi="Aptos" w:cs="Aptos"/>
          <w:b/>
          <w:bCs/>
          <w:i/>
          <w:iCs/>
          <w:color w:val="000000" w:themeColor="text1"/>
          <w:sz w:val="21"/>
          <w:szCs w:val="21"/>
          <w:lang w:val="es-419"/>
        </w:rPr>
        <w:t>:</w:t>
      </w:r>
      <w:r w:rsidRPr="35DF6C80">
        <w:rPr>
          <w:rFonts w:ascii="Aptos" w:eastAsia="Aptos" w:hAnsi="Aptos" w:cs="Aptos"/>
          <w:b/>
          <w:color w:val="000000" w:themeColor="text1"/>
          <w:sz w:val="21"/>
          <w:szCs w:val="21"/>
          <w:lang w:val="es-419"/>
        </w:rPr>
        <w:t xml:space="preserve"> </w:t>
      </w:r>
      <w:r w:rsidRPr="35DF6C80">
        <w:rPr>
          <w:rFonts w:ascii="Aptos" w:eastAsia="Aptos" w:hAnsi="Aptos" w:cs="Aptos"/>
          <w:color w:val="000000" w:themeColor="text1"/>
          <w:sz w:val="21"/>
          <w:szCs w:val="21"/>
          <w:lang w:val="es-419"/>
        </w:rPr>
        <w:t>14%</w:t>
      </w:r>
      <w:r>
        <w:rPr>
          <w:rFonts w:ascii="Aptos" w:eastAsia="Aptos" w:hAnsi="Aptos" w:cs="Aptos"/>
          <w:color w:val="000000" w:themeColor="text1"/>
          <w:sz w:val="21"/>
          <w:szCs w:val="21"/>
          <w:lang w:val="es-419"/>
        </w:rPr>
        <w:t xml:space="preserve">pa </w:t>
      </w:r>
      <w:r>
        <w:rPr>
          <w:rFonts w:ascii="Aptos" w:eastAsia="Aptos" w:hAnsi="Aptos" w:cs="Aptos"/>
          <w:color w:val="000000" w:themeColor="text1"/>
          <w:sz w:val="21"/>
          <w:szCs w:val="21"/>
          <w:lang w:val="es-419"/>
        </w:rPr>
        <w:t>+ bono del 9%</w:t>
      </w:r>
      <w:r w:rsidR="00584019">
        <w:rPr>
          <w:rFonts w:ascii="Aptos" w:eastAsia="Aptos" w:hAnsi="Aptos" w:cs="Aptos"/>
          <w:color w:val="000000" w:themeColor="text1"/>
          <w:sz w:val="21"/>
          <w:szCs w:val="21"/>
          <w:lang w:val="es-419"/>
        </w:rPr>
        <w:t xml:space="preserve"> </w:t>
      </w:r>
      <w:r w:rsidR="00584019" w:rsidRPr="00584019">
        <w:rPr>
          <w:rFonts w:ascii="Aptos" w:eastAsia="Aptos" w:hAnsi="Aptos" w:cs="Aptos"/>
          <w:color w:val="EE0000"/>
          <w:sz w:val="21"/>
          <w:szCs w:val="21"/>
          <w:lang w:val="es-419"/>
        </w:rPr>
        <w:t>(revisa disponibilidad)</w:t>
      </w:r>
    </w:p>
    <w:p w14:paraId="16D51D17" w14:textId="77777777" w:rsidR="00466966" w:rsidRDefault="00466966" w:rsidP="00466966">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00065ED5">
        <w:rPr>
          <w:rFonts w:ascii="Aptos" w:eastAsia="Aptos" w:hAnsi="Aptos" w:cs="Aptos"/>
          <w:b/>
          <w:bCs/>
          <w:color w:val="000000" w:themeColor="text1"/>
          <w:sz w:val="21"/>
          <w:szCs w:val="21"/>
          <w:lang w:val="es-419"/>
        </w:rPr>
        <w:t xml:space="preserve"> Fecha de Vencimiento:</w:t>
      </w:r>
      <w:r w:rsidRPr="00065ED5">
        <w:rPr>
          <w:rFonts w:ascii="Aptos" w:eastAsia="Aptos" w:hAnsi="Aptos" w:cs="Aptos"/>
          <w:color w:val="000000" w:themeColor="text1"/>
          <w:sz w:val="21"/>
          <w:szCs w:val="21"/>
          <w:lang w:val="es-419"/>
        </w:rPr>
        <w:t xml:space="preserve"> 31 de Marzo del 202</w:t>
      </w:r>
      <w:r>
        <w:rPr>
          <w:rFonts w:ascii="Aptos" w:eastAsia="Aptos" w:hAnsi="Aptos" w:cs="Aptos"/>
          <w:color w:val="000000" w:themeColor="text1"/>
          <w:sz w:val="21"/>
          <w:szCs w:val="21"/>
          <w:lang w:val="es-419"/>
        </w:rPr>
        <w:t>7</w:t>
      </w:r>
    </w:p>
    <w:p w14:paraId="08C9B7FA" w14:textId="659792B7" w:rsidR="00466966" w:rsidRDefault="00466966" w:rsidP="00466966">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Frecuencia de pago:</w:t>
      </w:r>
      <w:r w:rsidRPr="35DF6C80">
        <w:rPr>
          <w:rFonts w:ascii="Aptos" w:eastAsia="Aptos" w:hAnsi="Aptos" w:cs="Aptos"/>
          <w:color w:val="000000" w:themeColor="text1"/>
          <w:sz w:val="21"/>
          <w:szCs w:val="21"/>
          <w:lang w:val="es-419"/>
        </w:rPr>
        <w:t xml:space="preserve"> </w:t>
      </w:r>
      <w:r>
        <w:rPr>
          <w:rFonts w:ascii="Aptos" w:eastAsia="Aptos" w:hAnsi="Aptos" w:cs="Aptos"/>
          <w:color w:val="000000" w:themeColor="text1"/>
          <w:sz w:val="21"/>
          <w:szCs w:val="21"/>
          <w:lang w:val="es-419"/>
        </w:rPr>
        <w:t>P</w:t>
      </w:r>
      <w:r w:rsidR="0056540E">
        <w:rPr>
          <w:rFonts w:ascii="Aptos" w:eastAsia="Aptos" w:hAnsi="Aptos" w:cs="Aptos"/>
          <w:color w:val="000000" w:themeColor="text1"/>
          <w:sz w:val="21"/>
          <w:szCs w:val="21"/>
          <w:lang w:val="es-419"/>
        </w:rPr>
        <w:t>a</w:t>
      </w:r>
      <w:r>
        <w:rPr>
          <w:rFonts w:ascii="Aptos" w:eastAsia="Aptos" w:hAnsi="Aptos" w:cs="Aptos"/>
          <w:color w:val="000000" w:themeColor="text1"/>
          <w:sz w:val="21"/>
          <w:szCs w:val="21"/>
          <w:lang w:val="es-419"/>
        </w:rPr>
        <w:t>gado al vencimiento</w:t>
      </w:r>
    </w:p>
    <w:p w14:paraId="617B368A" w14:textId="1C95FFBF"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00C2578D">
        <w:rPr>
          <w:rFonts w:ascii="Aptos" w:eastAsia="Aptos" w:hAnsi="Aptos" w:cs="Aptos"/>
          <w:b/>
          <w:color w:val="000000" w:themeColor="text1"/>
          <w:sz w:val="21"/>
          <w:szCs w:val="21"/>
          <w:u w:val="single"/>
          <w:lang w:val="es-419"/>
        </w:rPr>
        <w:t>Plazo</w:t>
      </w:r>
      <w:r w:rsidR="007E5484" w:rsidRPr="00C2578D">
        <w:rPr>
          <w:rFonts w:ascii="Aptos" w:eastAsia="Aptos" w:hAnsi="Aptos" w:cs="Aptos"/>
          <w:b/>
          <w:bCs/>
          <w:color w:val="000000" w:themeColor="text1"/>
          <w:sz w:val="21"/>
          <w:szCs w:val="21"/>
          <w:u w:val="single"/>
          <w:lang w:val="es-419"/>
        </w:rPr>
        <w:t xml:space="preserve"> y Rendimiento Serie 4</w:t>
      </w:r>
      <w:r w:rsidR="00466966">
        <w:rPr>
          <w:rFonts w:ascii="Aptos" w:eastAsia="Aptos" w:hAnsi="Aptos" w:cs="Aptos"/>
          <w:b/>
          <w:bCs/>
          <w:color w:val="000000" w:themeColor="text1"/>
          <w:sz w:val="21"/>
          <w:szCs w:val="21"/>
          <w:u w:val="single"/>
          <w:lang w:val="es-419"/>
        </w:rPr>
        <w:t>B</w:t>
      </w:r>
      <w:r w:rsidRPr="007E5484">
        <w:rPr>
          <w:rFonts w:ascii="Aptos" w:eastAsia="Aptos" w:hAnsi="Aptos" w:cs="Aptos"/>
          <w:b/>
          <w:bCs/>
          <w:i/>
          <w:iCs/>
          <w:color w:val="000000" w:themeColor="text1"/>
          <w:sz w:val="21"/>
          <w:szCs w:val="21"/>
          <w:lang w:val="es-419"/>
        </w:rPr>
        <w:t>:</w:t>
      </w:r>
      <w:r w:rsidRPr="35DF6C80">
        <w:rPr>
          <w:rFonts w:ascii="Aptos" w:eastAsia="Aptos" w:hAnsi="Aptos" w:cs="Aptos"/>
          <w:b/>
          <w:color w:val="000000" w:themeColor="text1"/>
          <w:sz w:val="21"/>
          <w:szCs w:val="21"/>
          <w:lang w:val="es-419"/>
        </w:rPr>
        <w:t xml:space="preserve"> </w:t>
      </w:r>
      <w:r w:rsidRPr="35DF6C80">
        <w:rPr>
          <w:rFonts w:ascii="Aptos" w:eastAsia="Aptos" w:hAnsi="Aptos" w:cs="Aptos"/>
          <w:color w:val="000000" w:themeColor="text1"/>
          <w:sz w:val="21"/>
          <w:szCs w:val="21"/>
          <w:lang w:val="es-419"/>
        </w:rPr>
        <w:t>14%</w:t>
      </w:r>
      <w:r w:rsidR="00EF165E">
        <w:rPr>
          <w:rFonts w:ascii="Aptos" w:eastAsia="Aptos" w:hAnsi="Aptos" w:cs="Aptos"/>
          <w:color w:val="000000" w:themeColor="text1"/>
          <w:sz w:val="21"/>
          <w:szCs w:val="21"/>
          <w:lang w:val="es-419"/>
        </w:rPr>
        <w:t>pa</w:t>
      </w:r>
      <w:r w:rsidR="005B0FC0">
        <w:rPr>
          <w:rFonts w:ascii="Aptos" w:eastAsia="Aptos" w:hAnsi="Aptos" w:cs="Aptos"/>
          <w:color w:val="000000" w:themeColor="text1"/>
          <w:sz w:val="21"/>
          <w:szCs w:val="21"/>
          <w:lang w:val="es-419"/>
        </w:rPr>
        <w:t xml:space="preserve"> </w:t>
      </w:r>
      <w:r w:rsidR="00584019" w:rsidRPr="00584019">
        <w:rPr>
          <w:rFonts w:ascii="Aptos" w:eastAsia="Aptos" w:hAnsi="Aptos" w:cs="Aptos"/>
          <w:color w:val="EE0000"/>
          <w:sz w:val="21"/>
          <w:szCs w:val="21"/>
          <w:lang w:val="es-419"/>
        </w:rPr>
        <w:t>(revisa disponibilidad)</w:t>
      </w:r>
    </w:p>
    <w:p w14:paraId="30FC390D" w14:textId="77777777" w:rsidR="00065ED5"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00065ED5">
        <w:rPr>
          <w:rFonts w:ascii="Aptos" w:eastAsia="Aptos" w:hAnsi="Aptos" w:cs="Aptos"/>
          <w:b/>
          <w:bCs/>
          <w:color w:val="000000" w:themeColor="text1"/>
          <w:sz w:val="21"/>
          <w:szCs w:val="21"/>
          <w:lang w:val="es-419"/>
        </w:rPr>
        <w:t xml:space="preserve"> </w:t>
      </w:r>
      <w:r w:rsidR="00065ED5" w:rsidRPr="00065ED5">
        <w:rPr>
          <w:rFonts w:ascii="Aptos" w:eastAsia="Aptos" w:hAnsi="Aptos" w:cs="Aptos"/>
          <w:b/>
          <w:bCs/>
          <w:color w:val="000000" w:themeColor="text1"/>
          <w:sz w:val="21"/>
          <w:szCs w:val="21"/>
          <w:lang w:val="es-419"/>
        </w:rPr>
        <w:t>Fecha de Vencimiento:</w:t>
      </w:r>
      <w:r w:rsidR="00065ED5" w:rsidRPr="00065ED5">
        <w:rPr>
          <w:rFonts w:ascii="Aptos" w:eastAsia="Aptos" w:hAnsi="Aptos" w:cs="Aptos"/>
          <w:color w:val="000000" w:themeColor="text1"/>
          <w:sz w:val="21"/>
          <w:szCs w:val="21"/>
          <w:lang w:val="es-419"/>
        </w:rPr>
        <w:t xml:space="preserve"> 31 de</w:t>
      </w:r>
      <w:r w:rsidR="00065ED5" w:rsidRPr="00065ED5">
        <w:rPr>
          <w:rFonts w:ascii="Aptos" w:eastAsia="Aptos" w:hAnsi="Aptos" w:cs="Aptos"/>
          <w:color w:val="000000" w:themeColor="text1"/>
          <w:sz w:val="21"/>
          <w:szCs w:val="21"/>
          <w:lang w:val="es-419"/>
        </w:rPr>
        <w:t xml:space="preserve"> Marzo</w:t>
      </w:r>
      <w:r w:rsidR="00065ED5" w:rsidRPr="00065ED5">
        <w:rPr>
          <w:rFonts w:ascii="Aptos" w:eastAsia="Aptos" w:hAnsi="Aptos" w:cs="Aptos"/>
          <w:color w:val="000000" w:themeColor="text1"/>
          <w:sz w:val="21"/>
          <w:szCs w:val="21"/>
          <w:lang w:val="es-419"/>
        </w:rPr>
        <w:t xml:space="preserve"> del 202</w:t>
      </w:r>
      <w:r w:rsidR="00065ED5">
        <w:rPr>
          <w:rFonts w:ascii="Aptos" w:eastAsia="Aptos" w:hAnsi="Aptos" w:cs="Aptos"/>
          <w:color w:val="000000" w:themeColor="text1"/>
          <w:sz w:val="21"/>
          <w:szCs w:val="21"/>
          <w:lang w:val="es-419"/>
        </w:rPr>
        <w:t>7</w:t>
      </w:r>
    </w:p>
    <w:p w14:paraId="4CE165A7" w14:textId="768CB6A0" w:rsidR="00F254D1" w:rsidRDefault="00F254D1" w:rsidP="00F254D1">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Frecuencia de pago:</w:t>
      </w:r>
      <w:r w:rsidRPr="35DF6C80">
        <w:rPr>
          <w:rFonts w:ascii="Aptos" w:eastAsia="Aptos" w:hAnsi="Aptos" w:cs="Aptos"/>
          <w:color w:val="000000" w:themeColor="text1"/>
          <w:sz w:val="21"/>
          <w:szCs w:val="21"/>
          <w:lang w:val="es-419"/>
        </w:rPr>
        <w:t xml:space="preserve"> </w:t>
      </w:r>
      <w:r w:rsidR="0056540E">
        <w:rPr>
          <w:rFonts w:ascii="Aptos" w:eastAsia="Aptos" w:hAnsi="Aptos" w:cs="Aptos"/>
          <w:color w:val="000000" w:themeColor="text1"/>
          <w:sz w:val="21"/>
          <w:szCs w:val="21"/>
          <w:lang w:val="es-419"/>
        </w:rPr>
        <w:t>S</w:t>
      </w:r>
      <w:r w:rsidRPr="35DF6C80">
        <w:rPr>
          <w:rFonts w:ascii="Aptos" w:eastAsia="Aptos" w:hAnsi="Aptos" w:cs="Aptos"/>
          <w:color w:val="000000" w:themeColor="text1"/>
          <w:sz w:val="21"/>
          <w:szCs w:val="21"/>
          <w:lang w:val="es-419"/>
        </w:rPr>
        <w:t>emestral 30</w:t>
      </w:r>
      <w:r w:rsidR="00EC500B">
        <w:rPr>
          <w:rFonts w:ascii="Aptos" w:eastAsia="Aptos" w:hAnsi="Aptos" w:cs="Aptos"/>
          <w:color w:val="000000" w:themeColor="text1"/>
          <w:sz w:val="21"/>
          <w:szCs w:val="21"/>
          <w:lang w:val="es-419"/>
        </w:rPr>
        <w:t xml:space="preserve"> S</w:t>
      </w:r>
      <w:r>
        <w:rPr>
          <w:rFonts w:ascii="Aptos" w:eastAsia="Aptos" w:hAnsi="Aptos" w:cs="Aptos"/>
          <w:color w:val="000000" w:themeColor="text1"/>
          <w:sz w:val="21"/>
          <w:szCs w:val="21"/>
          <w:lang w:val="es-419"/>
        </w:rPr>
        <w:t>ept</w:t>
      </w:r>
      <w:r w:rsidR="00EC500B">
        <w:rPr>
          <w:rFonts w:ascii="Aptos" w:eastAsia="Aptos" w:hAnsi="Aptos" w:cs="Aptos"/>
          <w:color w:val="000000" w:themeColor="text1"/>
          <w:sz w:val="21"/>
          <w:szCs w:val="21"/>
          <w:lang w:val="es-419"/>
        </w:rPr>
        <w:t xml:space="preserve"> </w:t>
      </w:r>
      <w:r w:rsidR="00EC500B">
        <w:rPr>
          <w:rFonts w:ascii="Aptos" w:eastAsia="Aptos" w:hAnsi="Aptos" w:cs="Aptos"/>
          <w:color w:val="000000" w:themeColor="text1"/>
          <w:sz w:val="21"/>
          <w:szCs w:val="21"/>
          <w:lang w:val="es-419"/>
        </w:rPr>
        <w:t>(7%)</w:t>
      </w:r>
      <w:r w:rsidRPr="35DF6C80">
        <w:rPr>
          <w:rFonts w:ascii="Aptos" w:eastAsia="Aptos" w:hAnsi="Aptos" w:cs="Aptos"/>
          <w:color w:val="000000" w:themeColor="text1"/>
          <w:sz w:val="21"/>
          <w:szCs w:val="21"/>
          <w:lang w:val="es-419"/>
        </w:rPr>
        <w:t xml:space="preserve"> y </w:t>
      </w:r>
      <w:r w:rsidR="00EC500B">
        <w:rPr>
          <w:rFonts w:ascii="Aptos" w:eastAsia="Aptos" w:hAnsi="Aptos" w:cs="Aptos"/>
          <w:color w:val="000000" w:themeColor="text1"/>
          <w:sz w:val="21"/>
          <w:szCs w:val="21"/>
          <w:lang w:val="es-419"/>
        </w:rPr>
        <w:t>31 Marzo 2027 (7%)</w:t>
      </w:r>
    </w:p>
    <w:p w14:paraId="763E3E1A" w14:textId="77FCF669" w:rsidR="00F254D1" w:rsidRPr="00094122" w:rsidRDefault="00094122" w:rsidP="00094122">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Min Inversión:</w:t>
      </w:r>
      <w:r w:rsidRPr="35DF6C80">
        <w:rPr>
          <w:rFonts w:ascii="Aptos" w:eastAsia="Aptos" w:hAnsi="Aptos" w:cs="Aptos"/>
          <w:color w:val="000000" w:themeColor="text1"/>
          <w:sz w:val="21"/>
          <w:szCs w:val="21"/>
          <w:lang w:val="es-419"/>
        </w:rPr>
        <w:t xml:space="preserve"> </w:t>
      </w:r>
      <w:r>
        <w:rPr>
          <w:rFonts w:ascii="Aptos" w:eastAsia="Aptos" w:hAnsi="Aptos" w:cs="Aptos"/>
          <w:color w:val="000000" w:themeColor="text1"/>
          <w:sz w:val="21"/>
          <w:szCs w:val="21"/>
          <w:lang w:val="es-419"/>
        </w:rPr>
        <w:t>10</w:t>
      </w:r>
      <w:r w:rsidRPr="35DF6C80">
        <w:rPr>
          <w:rFonts w:ascii="Aptos" w:eastAsia="Aptos" w:hAnsi="Aptos" w:cs="Aptos"/>
          <w:color w:val="000000" w:themeColor="text1"/>
          <w:sz w:val="21"/>
          <w:szCs w:val="21"/>
          <w:lang w:val="es-419"/>
        </w:rPr>
        <w:t xml:space="preserve">0,000 USD </w:t>
      </w:r>
      <w:r>
        <w:rPr>
          <w:rFonts w:ascii="Aptos" w:eastAsia="Aptos" w:hAnsi="Aptos" w:cs="Aptos"/>
          <w:color w:val="000000" w:themeColor="text1"/>
          <w:sz w:val="21"/>
          <w:szCs w:val="21"/>
          <w:lang w:val="es-419"/>
        </w:rPr>
        <w:t>/ GBP / CHF / USDC</w:t>
      </w:r>
    </w:p>
    <w:p w14:paraId="5BAF3DA8" w14:textId="0DF87957"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Seguridad</w:t>
      </w:r>
      <w:r w:rsidRPr="35DF6C80">
        <w:rPr>
          <w:rFonts w:ascii="Aptos" w:eastAsia="Aptos" w:hAnsi="Aptos" w:cs="Aptos"/>
          <w:color w:val="000000" w:themeColor="text1"/>
          <w:sz w:val="21"/>
          <w:szCs w:val="21"/>
          <w:lang w:val="es-419"/>
        </w:rPr>
        <w:t>: respaldado por activos con cargo a un fideicomisario de seguridad</w:t>
      </w:r>
    </w:p>
    <w:p w14:paraId="2B9D1873" w14:textId="6F96933A"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color w:val="000000" w:themeColor="text1"/>
          <w:sz w:val="21"/>
          <w:szCs w:val="21"/>
          <w:lang w:val="es-419"/>
        </w:rPr>
        <w:t xml:space="preserve"> </w:t>
      </w:r>
      <w:r w:rsidRPr="35DF6C80">
        <w:rPr>
          <w:rFonts w:ascii="Aptos" w:eastAsia="Aptos" w:hAnsi="Aptos" w:cs="Aptos"/>
          <w:b/>
          <w:bCs/>
          <w:color w:val="000000" w:themeColor="text1"/>
          <w:sz w:val="21"/>
          <w:szCs w:val="21"/>
          <w:lang w:val="es-419"/>
        </w:rPr>
        <w:t>Sector</w:t>
      </w:r>
      <w:r w:rsidRPr="35DF6C80">
        <w:rPr>
          <w:rFonts w:ascii="Aptos" w:eastAsia="Aptos" w:hAnsi="Aptos" w:cs="Aptos"/>
          <w:color w:val="000000" w:themeColor="text1"/>
          <w:sz w:val="21"/>
          <w:szCs w:val="21"/>
          <w:lang w:val="es-419"/>
        </w:rPr>
        <w:t>: financiación de litigios en el Reino Unido</w:t>
      </w:r>
    </w:p>
    <w:p w14:paraId="53ACCD9D" w14:textId="50E84894"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 xml:space="preserve"> Fecha de constitución de la empresa:</w:t>
      </w:r>
      <w:r w:rsidRPr="35DF6C80">
        <w:rPr>
          <w:rFonts w:ascii="Aptos" w:eastAsia="Aptos" w:hAnsi="Aptos" w:cs="Aptos"/>
          <w:color w:val="000000" w:themeColor="text1"/>
          <w:sz w:val="21"/>
          <w:szCs w:val="21"/>
          <w:lang w:val="es-419"/>
        </w:rPr>
        <w:t xml:space="preserve"> 2022</w:t>
      </w:r>
    </w:p>
    <w:p w14:paraId="24EE5B78" w14:textId="4BDCF037"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 xml:space="preserve"> Pronta Cotización en:</w:t>
      </w:r>
      <w:r w:rsidRPr="35DF6C80">
        <w:rPr>
          <w:rFonts w:ascii="Aptos" w:eastAsia="Aptos" w:hAnsi="Aptos" w:cs="Aptos"/>
          <w:color w:val="000000" w:themeColor="text1"/>
          <w:sz w:val="21"/>
          <w:szCs w:val="21"/>
          <w:lang w:val="es-419"/>
        </w:rPr>
        <w:t xml:space="preserve"> MTF de Viena, XWBO, Wiener Börse AG</w:t>
      </w:r>
    </w:p>
    <w:p w14:paraId="133F8FDA" w14:textId="4C9C6D06"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 xml:space="preserve"> Agente de cotización: </w:t>
      </w:r>
      <w:r w:rsidRPr="35DF6C80">
        <w:rPr>
          <w:rFonts w:ascii="Aptos" w:eastAsia="Aptos" w:hAnsi="Aptos" w:cs="Aptos"/>
          <w:color w:val="000000" w:themeColor="text1"/>
          <w:sz w:val="21"/>
          <w:szCs w:val="21"/>
          <w:lang w:val="es-419"/>
        </w:rPr>
        <w:t>Onyx Corporate Finance</w:t>
      </w:r>
    </w:p>
    <w:p w14:paraId="3B61B6D3" w14:textId="5429E963"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 xml:space="preserve"> Auditores</w:t>
      </w:r>
      <w:r w:rsidRPr="35DF6C80">
        <w:rPr>
          <w:rFonts w:ascii="Aptos" w:eastAsia="Aptos" w:hAnsi="Aptos" w:cs="Aptos"/>
          <w:color w:val="000000" w:themeColor="text1"/>
          <w:sz w:val="21"/>
          <w:szCs w:val="21"/>
          <w:lang w:val="es-419"/>
        </w:rPr>
        <w:t>: Anstey Bond</w:t>
      </w:r>
    </w:p>
    <w:p w14:paraId="3AD65665" w14:textId="5EB04702"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 xml:space="preserve"> Fideicomisario de seguridad:</w:t>
      </w:r>
      <w:r w:rsidRPr="35DF6C80">
        <w:rPr>
          <w:rFonts w:ascii="Aptos" w:eastAsia="Aptos" w:hAnsi="Aptos" w:cs="Aptos"/>
          <w:color w:val="000000" w:themeColor="text1"/>
          <w:sz w:val="21"/>
          <w:szCs w:val="21"/>
          <w:lang w:val="es-419"/>
        </w:rPr>
        <w:t xml:space="preserve"> Verdant Trustees Limited</w:t>
      </w:r>
    </w:p>
    <w:p w14:paraId="2AFBA639" w14:textId="7419C06C"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color w:val="000000" w:themeColor="text1"/>
          <w:sz w:val="21"/>
          <w:szCs w:val="21"/>
          <w:lang w:val="es-419"/>
        </w:rPr>
        <w:t xml:space="preserve"> </w:t>
      </w:r>
      <w:r w:rsidRPr="35DF6C80">
        <w:rPr>
          <w:rFonts w:ascii="Aptos" w:eastAsia="Aptos" w:hAnsi="Aptos" w:cs="Aptos"/>
          <w:b/>
          <w:bCs/>
          <w:color w:val="000000" w:themeColor="text1"/>
          <w:sz w:val="21"/>
          <w:szCs w:val="21"/>
          <w:lang w:val="es-419"/>
        </w:rPr>
        <w:t>Registr</w:t>
      </w:r>
      <w:r w:rsidR="00CA20A8">
        <w:rPr>
          <w:rFonts w:ascii="Aptos" w:eastAsia="Aptos" w:hAnsi="Aptos" w:cs="Aptos"/>
          <w:b/>
          <w:bCs/>
          <w:color w:val="000000" w:themeColor="text1"/>
          <w:sz w:val="21"/>
          <w:szCs w:val="21"/>
          <w:lang w:val="es-419"/>
        </w:rPr>
        <w:t>ador</w:t>
      </w:r>
      <w:r w:rsidRPr="35DF6C80">
        <w:rPr>
          <w:rFonts w:ascii="Aptos" w:eastAsia="Aptos" w:hAnsi="Aptos" w:cs="Aptos"/>
          <w:color w:val="000000" w:themeColor="text1"/>
          <w:sz w:val="21"/>
          <w:szCs w:val="21"/>
          <w:lang w:val="es-419"/>
        </w:rPr>
        <w:t>: Avenir Registrars Limited</w:t>
      </w:r>
      <w:r w:rsidR="00C64B42">
        <w:rPr>
          <w:rFonts w:ascii="Aptos" w:eastAsia="Aptos" w:hAnsi="Aptos" w:cs="Aptos"/>
          <w:color w:val="000000" w:themeColor="text1"/>
          <w:sz w:val="21"/>
          <w:szCs w:val="21"/>
          <w:lang w:val="es-419"/>
        </w:rPr>
        <w:t xml:space="preserve"> (Regulado por el FCA)</w:t>
      </w:r>
      <w:r w:rsidR="00955A1D">
        <w:rPr>
          <w:rFonts w:ascii="Aptos" w:eastAsia="Aptos" w:hAnsi="Aptos" w:cs="Aptos"/>
          <w:color w:val="000000" w:themeColor="text1"/>
          <w:sz w:val="21"/>
          <w:szCs w:val="21"/>
          <w:lang w:val="es-419"/>
        </w:rPr>
        <w:t xml:space="preserve"> y 360 Fiduciary AG</w:t>
      </w:r>
    </w:p>
    <w:p w14:paraId="5769EEB0" w14:textId="76FE62FE"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35DF6C80">
        <w:rPr>
          <w:rFonts w:ascii="Aptos" w:eastAsia="Aptos" w:hAnsi="Aptos" w:cs="Aptos"/>
          <w:b/>
          <w:bCs/>
          <w:color w:val="000000" w:themeColor="text1"/>
          <w:sz w:val="21"/>
          <w:szCs w:val="21"/>
          <w:lang w:val="es-419"/>
        </w:rPr>
        <w:t>Agente receptor:</w:t>
      </w:r>
      <w:r w:rsidRPr="35DF6C80">
        <w:rPr>
          <w:rFonts w:ascii="Aptos" w:eastAsia="Aptos" w:hAnsi="Aptos" w:cs="Aptos"/>
          <w:color w:val="000000" w:themeColor="text1"/>
          <w:sz w:val="21"/>
          <w:szCs w:val="21"/>
          <w:lang w:val="es-419"/>
        </w:rPr>
        <w:t xml:space="preserve"> </w:t>
      </w:r>
      <w:r w:rsidR="00C64B42" w:rsidRPr="35DF6C80">
        <w:rPr>
          <w:rFonts w:ascii="Aptos" w:eastAsia="Aptos" w:hAnsi="Aptos" w:cs="Aptos"/>
          <w:color w:val="000000" w:themeColor="text1"/>
          <w:sz w:val="21"/>
          <w:szCs w:val="21"/>
          <w:lang w:val="es-419"/>
        </w:rPr>
        <w:t>Avenir Registrars Limited</w:t>
      </w:r>
      <w:r w:rsidR="00C64B42">
        <w:rPr>
          <w:rFonts w:ascii="Aptos" w:eastAsia="Aptos" w:hAnsi="Aptos" w:cs="Aptos"/>
          <w:color w:val="000000" w:themeColor="text1"/>
          <w:sz w:val="21"/>
          <w:szCs w:val="21"/>
          <w:lang w:val="es-419"/>
        </w:rPr>
        <w:t xml:space="preserve"> (Regulado por el FCA)</w:t>
      </w:r>
    </w:p>
    <w:p w14:paraId="54B15504" w14:textId="61D7B8C5" w:rsidR="00C64B42" w:rsidRPr="00C64B42" w:rsidRDefault="00C64B42" w:rsidP="00C64B42">
      <w:pPr>
        <w:pStyle w:val="ListParagraph"/>
        <w:numPr>
          <w:ilvl w:val="0"/>
          <w:numId w:val="1"/>
        </w:numPr>
        <w:shd w:val="clear" w:color="auto" w:fill="FFFFFF"/>
        <w:suppressAutoHyphens/>
        <w:autoSpaceDN w:val="0"/>
        <w:spacing w:after="0" w:line="276" w:lineRule="auto"/>
        <w:contextualSpacing w:val="0"/>
        <w:textAlignment w:val="baseline"/>
      </w:pPr>
      <w:r w:rsidRPr="00BD45DB">
        <w:rPr>
          <w:b/>
          <w:bCs/>
          <w:sz w:val="21"/>
          <w:szCs w:val="21"/>
        </w:rPr>
        <w:t>Law Firm Due Diligence</w:t>
      </w:r>
      <w:r w:rsidRPr="00913A6C">
        <w:t xml:space="preserve">: </w:t>
      </w:r>
      <w:r w:rsidRPr="00BD45DB">
        <w:rPr>
          <w:sz w:val="21"/>
          <w:szCs w:val="21"/>
        </w:rPr>
        <w:t>Insyte</w:t>
      </w:r>
      <w:r w:rsidR="00CA20A8">
        <w:rPr>
          <w:sz w:val="21"/>
          <w:szCs w:val="21"/>
        </w:rPr>
        <w:t xml:space="preserve"> IQ</w:t>
      </w:r>
    </w:p>
    <w:p w14:paraId="74EB4D24" w14:textId="6F70155A" w:rsidR="6F738100" w:rsidRDefault="6F738100" w:rsidP="35DF6C80">
      <w:pPr>
        <w:pStyle w:val="ListParagraph"/>
        <w:numPr>
          <w:ilvl w:val="0"/>
          <w:numId w:val="1"/>
        </w:numPr>
        <w:shd w:val="clear" w:color="auto" w:fill="FFFFFF" w:themeFill="background1"/>
        <w:spacing w:after="0"/>
        <w:rPr>
          <w:rFonts w:ascii="Aptos" w:eastAsia="Aptos" w:hAnsi="Aptos" w:cs="Aptos"/>
          <w:color w:val="000000" w:themeColor="text1"/>
          <w:sz w:val="21"/>
          <w:szCs w:val="21"/>
          <w:lang w:val="es-419"/>
        </w:rPr>
      </w:pPr>
      <w:r w:rsidRPr="00CA20A8">
        <w:rPr>
          <w:rFonts w:ascii="Aptos" w:eastAsia="Aptos" w:hAnsi="Aptos" w:cs="Aptos"/>
          <w:b/>
          <w:bCs/>
          <w:color w:val="000000" w:themeColor="text1"/>
          <w:sz w:val="21"/>
          <w:szCs w:val="21"/>
        </w:rPr>
        <w:t xml:space="preserve"> </w:t>
      </w:r>
      <w:r w:rsidRPr="35DF6C80">
        <w:rPr>
          <w:rFonts w:ascii="Aptos" w:eastAsia="Aptos" w:hAnsi="Aptos" w:cs="Aptos"/>
          <w:b/>
          <w:bCs/>
          <w:color w:val="000000" w:themeColor="text1"/>
          <w:sz w:val="21"/>
          <w:szCs w:val="21"/>
          <w:lang w:val="es-419"/>
        </w:rPr>
        <w:t xml:space="preserve">Disponible a través de determinadas plataformas: </w:t>
      </w:r>
      <w:r w:rsidR="00C2578D">
        <w:rPr>
          <w:rFonts w:ascii="Aptos" w:eastAsia="Aptos" w:hAnsi="Aptos" w:cs="Aptos"/>
          <w:color w:val="000000" w:themeColor="text1"/>
          <w:sz w:val="21"/>
          <w:szCs w:val="21"/>
          <w:lang w:val="es-419"/>
        </w:rPr>
        <w:t xml:space="preserve">Si con el ISIN via </w:t>
      </w:r>
      <w:r w:rsidR="00932CC5">
        <w:rPr>
          <w:rFonts w:ascii="Aptos" w:eastAsia="Aptos" w:hAnsi="Aptos" w:cs="Aptos"/>
          <w:color w:val="000000" w:themeColor="text1"/>
          <w:sz w:val="21"/>
          <w:szCs w:val="21"/>
          <w:lang w:val="es-419"/>
        </w:rPr>
        <w:t xml:space="preserve"> Euroclear y Mainstream</w:t>
      </w:r>
    </w:p>
    <w:p w14:paraId="360DAC54" w14:textId="09094A4A" w:rsidR="35DF6C80" w:rsidRPr="002F5911" w:rsidRDefault="6F738100" w:rsidP="35DF6C80">
      <w:pPr>
        <w:pStyle w:val="ListParagraph"/>
        <w:numPr>
          <w:ilvl w:val="0"/>
          <w:numId w:val="1"/>
        </w:numPr>
        <w:shd w:val="clear" w:color="auto" w:fill="FFFFFF" w:themeFill="background1"/>
        <w:spacing w:after="0"/>
        <w:rPr>
          <w:b/>
          <w:bCs/>
          <w:lang w:val="es-419"/>
        </w:rPr>
      </w:pPr>
      <w:r w:rsidRPr="002F5911">
        <w:rPr>
          <w:rFonts w:ascii="Aptos" w:eastAsia="Aptos" w:hAnsi="Aptos" w:cs="Aptos"/>
          <w:b/>
          <w:bCs/>
          <w:color w:val="000000" w:themeColor="text1"/>
          <w:sz w:val="21"/>
          <w:szCs w:val="21"/>
          <w:lang w:val="es-419"/>
        </w:rPr>
        <w:t xml:space="preserve"> Disponible a través de suscripción directa: </w:t>
      </w:r>
      <w:r w:rsidRPr="002F5911">
        <w:rPr>
          <w:rFonts w:ascii="Aptos" w:eastAsia="Aptos" w:hAnsi="Aptos" w:cs="Aptos"/>
          <w:color w:val="000000" w:themeColor="text1"/>
          <w:sz w:val="21"/>
          <w:szCs w:val="21"/>
          <w:lang w:val="es-419"/>
        </w:rPr>
        <w:t>Sí</w:t>
      </w:r>
      <w:r w:rsidR="002F5911">
        <w:rPr>
          <w:rFonts w:ascii="Aptos" w:eastAsia="Aptos" w:hAnsi="Aptos" w:cs="Aptos"/>
          <w:color w:val="000000" w:themeColor="text1"/>
          <w:sz w:val="21"/>
          <w:szCs w:val="21"/>
          <w:lang w:val="es-419"/>
        </w:rPr>
        <w:br/>
      </w:r>
    </w:p>
    <w:p w14:paraId="7A142FC4" w14:textId="20BAE808" w:rsidR="003634DE" w:rsidRPr="003634DE" w:rsidRDefault="003634DE" w:rsidP="00587092">
      <w:pPr>
        <w:rPr>
          <w:b/>
          <w:bCs/>
          <w:lang w:val="es-419"/>
        </w:rPr>
      </w:pPr>
      <w:r w:rsidRPr="003634DE">
        <w:rPr>
          <w:b/>
          <w:bCs/>
          <w:lang w:val="es-419"/>
        </w:rPr>
        <w:t>Documentos de diligencia debida para inversores:</w:t>
      </w:r>
    </w:p>
    <w:p w14:paraId="02E0E338" w14:textId="2FE6F793" w:rsidR="00343AC3" w:rsidRPr="00343AC3" w:rsidRDefault="00343AC3" w:rsidP="00343AC3">
      <w:pPr>
        <w:numPr>
          <w:ilvl w:val="0"/>
          <w:numId w:val="2"/>
        </w:numPr>
        <w:spacing w:after="0" w:line="240" w:lineRule="auto"/>
        <w:rPr>
          <w:sz w:val="21"/>
          <w:szCs w:val="21"/>
        </w:rPr>
      </w:pPr>
      <w:hyperlink r:id="rId5" w:history="1">
        <w:r w:rsidRPr="00343AC3">
          <w:rPr>
            <w:rStyle w:val="Hyperlink"/>
            <w:sz w:val="21"/>
            <w:szCs w:val="21"/>
          </w:rPr>
          <w:t xml:space="preserve">Seven Stars SERIES 1 </w:t>
        </w:r>
        <w:r w:rsidR="00D718DC">
          <w:rPr>
            <w:rStyle w:val="Hyperlink"/>
            <w:sz w:val="21"/>
            <w:szCs w:val="21"/>
          </w:rPr>
          <w:t xml:space="preserve">- </w:t>
        </w:r>
        <w:r w:rsidRPr="00343AC3">
          <w:rPr>
            <w:rStyle w:val="Hyperlink"/>
            <w:sz w:val="21"/>
            <w:szCs w:val="21"/>
          </w:rPr>
          <w:t xml:space="preserve">17.5%pa vence Dec 2028 - </w:t>
        </w:r>
        <w:r w:rsidRPr="00343AC3">
          <w:rPr>
            <w:rStyle w:val="Hyperlink"/>
            <w:b/>
            <w:bCs/>
            <w:sz w:val="21"/>
            <w:szCs w:val="21"/>
          </w:rPr>
          <w:t>Term sheet</w:t>
        </w:r>
      </w:hyperlink>
      <w:r w:rsidRPr="00343AC3">
        <w:rPr>
          <w:sz w:val="21"/>
          <w:szCs w:val="21"/>
        </w:rPr>
        <w:t xml:space="preserve"> - español</w:t>
      </w:r>
    </w:p>
    <w:p w14:paraId="2125E29F" w14:textId="025357F0" w:rsidR="00492FF2" w:rsidRDefault="00343AC3" w:rsidP="00343AC3">
      <w:pPr>
        <w:numPr>
          <w:ilvl w:val="0"/>
          <w:numId w:val="2"/>
        </w:numPr>
        <w:spacing w:after="0" w:line="240" w:lineRule="auto"/>
        <w:rPr>
          <w:sz w:val="21"/>
          <w:szCs w:val="21"/>
        </w:rPr>
      </w:pPr>
      <w:hyperlink r:id="rId6" w:history="1">
        <w:r w:rsidRPr="00343AC3">
          <w:rPr>
            <w:rStyle w:val="Hyperlink"/>
            <w:sz w:val="21"/>
            <w:szCs w:val="21"/>
          </w:rPr>
          <w:t xml:space="preserve">Seven Stars SERIES 1 </w:t>
        </w:r>
        <w:r w:rsidR="00D718DC">
          <w:rPr>
            <w:rStyle w:val="Hyperlink"/>
            <w:sz w:val="21"/>
            <w:szCs w:val="21"/>
          </w:rPr>
          <w:t xml:space="preserve">- </w:t>
        </w:r>
        <w:r w:rsidRPr="00343AC3">
          <w:rPr>
            <w:rStyle w:val="Hyperlink"/>
            <w:sz w:val="21"/>
            <w:szCs w:val="21"/>
          </w:rPr>
          <w:t xml:space="preserve">17.5%pa vence Dec 2028 - </w:t>
        </w:r>
        <w:r w:rsidRPr="00343AC3">
          <w:rPr>
            <w:rStyle w:val="Hyperlink"/>
            <w:b/>
            <w:bCs/>
            <w:sz w:val="21"/>
            <w:szCs w:val="21"/>
          </w:rPr>
          <w:t>Investment Memorandum</w:t>
        </w:r>
      </w:hyperlink>
      <w:r w:rsidRPr="00343AC3">
        <w:rPr>
          <w:sz w:val="21"/>
          <w:szCs w:val="21"/>
        </w:rPr>
        <w:t xml:space="preserve"> </w:t>
      </w:r>
      <w:r w:rsidR="00492FF2">
        <w:rPr>
          <w:sz w:val="21"/>
          <w:szCs w:val="21"/>
        </w:rPr>
        <w:t>–</w:t>
      </w:r>
      <w:r w:rsidRPr="00343AC3">
        <w:rPr>
          <w:sz w:val="21"/>
          <w:szCs w:val="21"/>
        </w:rPr>
        <w:t xml:space="preserve"> ingles</w:t>
      </w:r>
    </w:p>
    <w:p w14:paraId="76AF33F7" w14:textId="77777777" w:rsidR="00492FF2" w:rsidRDefault="00492FF2" w:rsidP="00492FF2">
      <w:pPr>
        <w:spacing w:after="0" w:line="240" w:lineRule="auto"/>
        <w:rPr>
          <w:sz w:val="21"/>
          <w:szCs w:val="21"/>
        </w:rPr>
      </w:pPr>
    </w:p>
    <w:p w14:paraId="3A699041" w14:textId="514F9261" w:rsidR="00492FF2" w:rsidRPr="00343AC3" w:rsidRDefault="00492FF2" w:rsidP="00492FF2">
      <w:pPr>
        <w:numPr>
          <w:ilvl w:val="0"/>
          <w:numId w:val="2"/>
        </w:numPr>
        <w:spacing w:after="0" w:line="240" w:lineRule="auto"/>
        <w:rPr>
          <w:sz w:val="21"/>
          <w:szCs w:val="21"/>
          <w:lang w:val="es-MX"/>
        </w:rPr>
      </w:pPr>
      <w:hyperlink r:id="rId7" w:history="1">
        <w:r w:rsidRPr="00343AC3">
          <w:rPr>
            <w:rStyle w:val="Hyperlink"/>
            <w:sz w:val="21"/>
            <w:szCs w:val="21"/>
            <w:lang w:val="es-MX"/>
          </w:rPr>
          <w:t>Seven Stars SERIES 4</w:t>
        </w:r>
        <w:r>
          <w:rPr>
            <w:rStyle w:val="Hyperlink"/>
            <w:sz w:val="21"/>
            <w:szCs w:val="21"/>
            <w:lang w:val="es-MX"/>
          </w:rPr>
          <w:t>A</w:t>
        </w:r>
        <w:r w:rsidRPr="00343AC3">
          <w:rPr>
            <w:rStyle w:val="Hyperlink"/>
            <w:sz w:val="21"/>
            <w:szCs w:val="21"/>
            <w:lang w:val="es-MX"/>
          </w:rPr>
          <w:t xml:space="preserve"> 14%pa con un bono extra del 9% - </w:t>
        </w:r>
        <w:r w:rsidRPr="00343AC3">
          <w:rPr>
            <w:rStyle w:val="Hyperlink"/>
            <w:b/>
            <w:bCs/>
            <w:sz w:val="21"/>
            <w:szCs w:val="21"/>
            <w:lang w:val="es-MX"/>
          </w:rPr>
          <w:t>Term sheet</w:t>
        </w:r>
      </w:hyperlink>
      <w:r w:rsidRPr="00343AC3">
        <w:rPr>
          <w:sz w:val="21"/>
          <w:szCs w:val="21"/>
          <w:lang w:val="es-MX"/>
        </w:rPr>
        <w:t xml:space="preserve"> – español </w:t>
      </w:r>
    </w:p>
    <w:p w14:paraId="087990B2" w14:textId="55686A1A" w:rsidR="00343AC3" w:rsidRPr="00492FF2" w:rsidRDefault="00492FF2" w:rsidP="00492FF2">
      <w:pPr>
        <w:pStyle w:val="ListParagraph"/>
        <w:numPr>
          <w:ilvl w:val="0"/>
          <w:numId w:val="2"/>
        </w:numPr>
        <w:spacing w:after="0" w:line="240" w:lineRule="auto"/>
        <w:rPr>
          <w:sz w:val="21"/>
          <w:szCs w:val="21"/>
        </w:rPr>
      </w:pPr>
      <w:r w:rsidRPr="00492FF2">
        <w:rPr>
          <w:sz w:val="21"/>
          <w:szCs w:val="21"/>
          <w:lang w:val="es-MX"/>
        </w:rPr>
        <w:t xml:space="preserve"> </w:t>
      </w:r>
      <w:hyperlink r:id="rId8" w:history="1">
        <w:r w:rsidRPr="00492FF2">
          <w:rPr>
            <w:rStyle w:val="Hyperlink"/>
            <w:sz w:val="21"/>
            <w:szCs w:val="21"/>
            <w:lang w:val="es-419"/>
          </w:rPr>
          <w:t>Seven Stars SERIES 4</w:t>
        </w:r>
        <w:r>
          <w:rPr>
            <w:rStyle w:val="Hyperlink"/>
            <w:sz w:val="21"/>
            <w:szCs w:val="21"/>
            <w:lang w:val="es-419"/>
          </w:rPr>
          <w:t>A</w:t>
        </w:r>
        <w:r w:rsidRPr="00492FF2">
          <w:rPr>
            <w:rStyle w:val="Hyperlink"/>
            <w:sz w:val="21"/>
            <w:szCs w:val="21"/>
            <w:lang w:val="es-419"/>
          </w:rPr>
          <w:t xml:space="preserve"> 14%pa con un bono extra del 9% - </w:t>
        </w:r>
        <w:r w:rsidRPr="00492FF2">
          <w:rPr>
            <w:rStyle w:val="Hyperlink"/>
            <w:b/>
            <w:bCs/>
            <w:sz w:val="21"/>
            <w:szCs w:val="21"/>
            <w:lang w:val="es-419"/>
          </w:rPr>
          <w:t>Investment Memorandum</w:t>
        </w:r>
      </w:hyperlink>
      <w:r w:rsidRPr="00492FF2">
        <w:rPr>
          <w:sz w:val="21"/>
          <w:szCs w:val="21"/>
          <w:lang w:val="es-419"/>
        </w:rPr>
        <w:t xml:space="preserve"> - ingles</w:t>
      </w:r>
      <w:r w:rsidR="00343AC3" w:rsidRPr="00492FF2">
        <w:rPr>
          <w:sz w:val="21"/>
          <w:szCs w:val="21"/>
        </w:rPr>
        <w:br/>
      </w:r>
    </w:p>
    <w:p w14:paraId="3AB0BCBB" w14:textId="21BB578A" w:rsidR="00343AC3" w:rsidRPr="00492FF2" w:rsidRDefault="00343AC3" w:rsidP="00343AC3">
      <w:pPr>
        <w:numPr>
          <w:ilvl w:val="0"/>
          <w:numId w:val="2"/>
        </w:numPr>
        <w:spacing w:after="0" w:line="240" w:lineRule="auto"/>
        <w:rPr>
          <w:sz w:val="21"/>
          <w:szCs w:val="21"/>
        </w:rPr>
      </w:pPr>
      <w:hyperlink r:id="rId9" w:history="1">
        <w:r w:rsidRPr="00492FF2">
          <w:rPr>
            <w:rStyle w:val="Hyperlink"/>
            <w:sz w:val="21"/>
            <w:szCs w:val="21"/>
          </w:rPr>
          <w:t>Seven Stars SERIES 4</w:t>
        </w:r>
        <w:r w:rsidR="00460ECB" w:rsidRPr="00492FF2">
          <w:rPr>
            <w:rStyle w:val="Hyperlink"/>
            <w:sz w:val="21"/>
            <w:szCs w:val="21"/>
          </w:rPr>
          <w:t>B</w:t>
        </w:r>
        <w:r w:rsidRPr="00492FF2">
          <w:rPr>
            <w:rStyle w:val="Hyperlink"/>
            <w:sz w:val="21"/>
            <w:szCs w:val="21"/>
          </w:rPr>
          <w:t xml:space="preserve"> 14%pa - </w:t>
        </w:r>
        <w:r w:rsidRPr="00492FF2">
          <w:rPr>
            <w:rStyle w:val="Hyperlink"/>
            <w:b/>
            <w:bCs/>
            <w:sz w:val="21"/>
            <w:szCs w:val="21"/>
          </w:rPr>
          <w:t>Term sheet</w:t>
        </w:r>
      </w:hyperlink>
      <w:r w:rsidRPr="00492FF2">
        <w:rPr>
          <w:sz w:val="21"/>
          <w:szCs w:val="21"/>
        </w:rPr>
        <w:t xml:space="preserve"> – español </w:t>
      </w:r>
    </w:p>
    <w:p w14:paraId="29452805" w14:textId="2B1A18C8" w:rsidR="00343AC3" w:rsidRPr="006C5F37" w:rsidRDefault="00343AC3" w:rsidP="00343AC3">
      <w:pPr>
        <w:numPr>
          <w:ilvl w:val="0"/>
          <w:numId w:val="2"/>
        </w:numPr>
        <w:spacing w:after="0" w:line="240" w:lineRule="auto"/>
        <w:rPr>
          <w:sz w:val="21"/>
          <w:szCs w:val="21"/>
        </w:rPr>
      </w:pPr>
      <w:r w:rsidRPr="00492FF2">
        <w:rPr>
          <w:sz w:val="21"/>
          <w:szCs w:val="21"/>
        </w:rPr>
        <w:t xml:space="preserve"> </w:t>
      </w:r>
      <w:hyperlink r:id="rId10" w:history="1">
        <w:r w:rsidRPr="006C5F37">
          <w:rPr>
            <w:rStyle w:val="Hyperlink"/>
            <w:sz w:val="21"/>
            <w:szCs w:val="21"/>
          </w:rPr>
          <w:t>Seven Stars SERIES 4</w:t>
        </w:r>
        <w:r w:rsidR="00460ECB" w:rsidRPr="006C5F37">
          <w:rPr>
            <w:rStyle w:val="Hyperlink"/>
            <w:sz w:val="21"/>
            <w:szCs w:val="21"/>
          </w:rPr>
          <w:t>B</w:t>
        </w:r>
        <w:r w:rsidRPr="006C5F37">
          <w:rPr>
            <w:rStyle w:val="Hyperlink"/>
            <w:sz w:val="21"/>
            <w:szCs w:val="21"/>
          </w:rPr>
          <w:t xml:space="preserve"> 14%pa - </w:t>
        </w:r>
        <w:r w:rsidRPr="006C5F37">
          <w:rPr>
            <w:rStyle w:val="Hyperlink"/>
            <w:b/>
            <w:bCs/>
            <w:sz w:val="21"/>
            <w:szCs w:val="21"/>
          </w:rPr>
          <w:t>Investment Memorandum</w:t>
        </w:r>
      </w:hyperlink>
      <w:r w:rsidRPr="006C5F37">
        <w:rPr>
          <w:sz w:val="21"/>
          <w:szCs w:val="21"/>
        </w:rPr>
        <w:t xml:space="preserve"> - ingles</w:t>
      </w:r>
      <w:r w:rsidRPr="006C5F37">
        <w:rPr>
          <w:sz w:val="21"/>
          <w:szCs w:val="21"/>
        </w:rPr>
        <w:br/>
      </w:r>
    </w:p>
    <w:p w14:paraId="5D1D070E" w14:textId="77777777" w:rsidR="00343AC3" w:rsidRPr="00343AC3" w:rsidRDefault="00343AC3" w:rsidP="00343AC3">
      <w:pPr>
        <w:numPr>
          <w:ilvl w:val="0"/>
          <w:numId w:val="2"/>
        </w:numPr>
        <w:spacing w:after="0" w:line="240" w:lineRule="auto"/>
        <w:rPr>
          <w:sz w:val="21"/>
          <w:szCs w:val="21"/>
          <w:lang w:val="es-MX"/>
        </w:rPr>
      </w:pPr>
      <w:hyperlink r:id="rId11" w:history="1">
        <w:r w:rsidRPr="00343AC3">
          <w:rPr>
            <w:rStyle w:val="Hyperlink"/>
            <w:sz w:val="21"/>
            <w:szCs w:val="21"/>
            <w:lang w:val="es-MX"/>
          </w:rPr>
          <w:t>Un Introducción a la financiación de casos de litigios basados sobre precedentes en el Reino Unido</w:t>
        </w:r>
      </w:hyperlink>
      <w:r w:rsidRPr="00343AC3">
        <w:rPr>
          <w:sz w:val="21"/>
          <w:szCs w:val="21"/>
          <w:lang w:val="es-MX"/>
        </w:rPr>
        <w:t xml:space="preserve"> </w:t>
      </w:r>
      <w:r w:rsidRPr="00955A1D">
        <w:rPr>
          <w:i/>
          <w:iCs/>
          <w:sz w:val="21"/>
          <w:szCs w:val="21"/>
          <w:lang w:val="es-MX"/>
        </w:rPr>
        <w:t>y como funcionan sus Notas de crédito (senior secured)</w:t>
      </w:r>
      <w:r w:rsidRPr="00955A1D">
        <w:rPr>
          <w:i/>
          <w:iCs/>
          <w:sz w:val="21"/>
          <w:szCs w:val="21"/>
          <w:lang w:val="es-MX"/>
        </w:rPr>
        <w:br/>
      </w:r>
    </w:p>
    <w:p w14:paraId="3DA4899D" w14:textId="77777777" w:rsidR="00343AC3" w:rsidRPr="00A20393" w:rsidRDefault="00343AC3" w:rsidP="00343AC3">
      <w:pPr>
        <w:numPr>
          <w:ilvl w:val="0"/>
          <w:numId w:val="2"/>
        </w:numPr>
        <w:spacing w:after="0" w:line="240" w:lineRule="auto"/>
        <w:rPr>
          <w:sz w:val="21"/>
          <w:szCs w:val="21"/>
        </w:rPr>
      </w:pPr>
      <w:hyperlink r:id="rId12" w:history="1">
        <w:r w:rsidRPr="00343AC3">
          <w:rPr>
            <w:rStyle w:val="Hyperlink"/>
            <w:sz w:val="21"/>
            <w:szCs w:val="21"/>
          </w:rPr>
          <w:t xml:space="preserve">Seven Stars Corporate Governance Brochure </w:t>
        </w:r>
      </w:hyperlink>
      <w:r w:rsidRPr="00343AC3">
        <w:rPr>
          <w:i/>
          <w:iCs/>
          <w:sz w:val="21"/>
          <w:szCs w:val="21"/>
        </w:rPr>
        <w:t>– Introduce a la empresa y los directores</w:t>
      </w:r>
    </w:p>
    <w:p w14:paraId="2EC8A399" w14:textId="77777777" w:rsidR="00A20393" w:rsidRPr="00343AC3" w:rsidRDefault="00A20393" w:rsidP="00A20393">
      <w:pPr>
        <w:spacing w:after="0" w:line="240" w:lineRule="auto"/>
        <w:ind w:left="720"/>
        <w:rPr>
          <w:sz w:val="21"/>
          <w:szCs w:val="21"/>
        </w:rPr>
      </w:pPr>
    </w:p>
    <w:p w14:paraId="405C773F" w14:textId="5A5926A7" w:rsidR="00343AC3" w:rsidRPr="00A7081C" w:rsidRDefault="00A7081C" w:rsidP="00343AC3">
      <w:pPr>
        <w:numPr>
          <w:ilvl w:val="0"/>
          <w:numId w:val="2"/>
        </w:numPr>
        <w:spacing w:after="0" w:line="240" w:lineRule="auto"/>
        <w:rPr>
          <w:sz w:val="21"/>
          <w:szCs w:val="21"/>
          <w:lang w:val="es-419"/>
        </w:rPr>
      </w:pPr>
      <w:hyperlink r:id="rId13" w:history="1">
        <w:r w:rsidRPr="00A7081C">
          <w:rPr>
            <w:rStyle w:val="Hyperlink"/>
            <w:sz w:val="21"/>
            <w:szCs w:val="21"/>
            <w:lang w:val="es-419"/>
          </w:rPr>
          <w:t>Análisis de riesgos y estrategias de mitigación</w:t>
        </w:r>
      </w:hyperlink>
      <w:r>
        <w:rPr>
          <w:sz w:val="21"/>
          <w:szCs w:val="21"/>
          <w:lang w:val="es-419"/>
        </w:rPr>
        <w:br/>
      </w:r>
    </w:p>
    <w:p w14:paraId="3C2B22F9" w14:textId="0BAB94E6" w:rsidR="00587092" w:rsidRPr="00343AC3" w:rsidRDefault="00587092" w:rsidP="00587092">
      <w:pPr>
        <w:numPr>
          <w:ilvl w:val="0"/>
          <w:numId w:val="2"/>
        </w:numPr>
        <w:rPr>
          <w:sz w:val="21"/>
          <w:szCs w:val="21"/>
          <w:lang w:val="es-MX"/>
        </w:rPr>
      </w:pPr>
      <w:hyperlink r:id="rId14" w:history="1">
        <w:r w:rsidRPr="00343AC3">
          <w:rPr>
            <w:rStyle w:val="Hyperlink"/>
            <w:sz w:val="21"/>
            <w:szCs w:val="21"/>
            <w:lang w:val="es-MX"/>
          </w:rPr>
          <w:t>Seven Stars Bond structure</w:t>
        </w:r>
      </w:hyperlink>
    </w:p>
    <w:p w14:paraId="5DE976E2" w14:textId="77777777" w:rsidR="00587092" w:rsidRPr="00343AC3" w:rsidRDefault="00587092" w:rsidP="00587092">
      <w:pPr>
        <w:numPr>
          <w:ilvl w:val="0"/>
          <w:numId w:val="2"/>
        </w:numPr>
        <w:rPr>
          <w:sz w:val="21"/>
          <w:szCs w:val="21"/>
          <w:lang w:val="es-MX"/>
        </w:rPr>
      </w:pPr>
      <w:hyperlink r:id="rId15" w:history="1">
        <w:r w:rsidRPr="00343AC3">
          <w:rPr>
            <w:rStyle w:val="Hyperlink"/>
            <w:sz w:val="21"/>
            <w:szCs w:val="21"/>
            <w:lang w:val="es-MX"/>
          </w:rPr>
          <w:t>Seven Stars FAQ</w:t>
        </w:r>
      </w:hyperlink>
    </w:p>
    <w:p w14:paraId="248F0FBA" w14:textId="77777777" w:rsidR="00472CF9" w:rsidRPr="00343AC3" w:rsidRDefault="00472CF9" w:rsidP="00472CF9">
      <w:pPr>
        <w:numPr>
          <w:ilvl w:val="0"/>
          <w:numId w:val="2"/>
        </w:numPr>
        <w:rPr>
          <w:sz w:val="21"/>
          <w:szCs w:val="21"/>
          <w:lang w:val="es-MX"/>
        </w:rPr>
      </w:pPr>
      <w:hyperlink r:id="rId16" w:history="1">
        <w:r w:rsidRPr="00343AC3">
          <w:rPr>
            <w:rStyle w:val="Hyperlink"/>
            <w:sz w:val="21"/>
            <w:szCs w:val="21"/>
            <w:lang w:val="es-MX"/>
          </w:rPr>
          <w:t>Estados Financieros de 2024</w:t>
        </w:r>
      </w:hyperlink>
    </w:p>
    <w:p w14:paraId="1F5B12A3" w14:textId="77777777" w:rsidR="00472CF9" w:rsidRPr="00343AC3" w:rsidRDefault="00472CF9" w:rsidP="00472CF9">
      <w:pPr>
        <w:numPr>
          <w:ilvl w:val="0"/>
          <w:numId w:val="2"/>
        </w:numPr>
        <w:rPr>
          <w:sz w:val="21"/>
          <w:szCs w:val="21"/>
          <w:lang w:val="es-MX"/>
        </w:rPr>
      </w:pPr>
      <w:hyperlink r:id="rId17" w:history="1">
        <w:r w:rsidRPr="00343AC3">
          <w:rPr>
            <w:rStyle w:val="Hyperlink"/>
            <w:sz w:val="21"/>
            <w:szCs w:val="21"/>
            <w:lang w:val="es-MX"/>
          </w:rPr>
          <w:t>Comentarios del directo sobre los estados financieros (2024)</w:t>
        </w:r>
      </w:hyperlink>
    </w:p>
    <w:p w14:paraId="6C3CA8BF" w14:textId="509A52FF" w:rsidR="004E1751" w:rsidRPr="00D9261A" w:rsidRDefault="004E1751" w:rsidP="004E1751">
      <w:pPr>
        <w:numPr>
          <w:ilvl w:val="0"/>
          <w:numId w:val="2"/>
        </w:numPr>
        <w:suppressAutoHyphens/>
        <w:autoSpaceDN w:val="0"/>
        <w:spacing w:line="276" w:lineRule="auto"/>
        <w:textAlignment w:val="baseline"/>
        <w:rPr>
          <w:lang w:val="es-MX"/>
        </w:rPr>
      </w:pPr>
      <w:hyperlink r:id="rId18" w:history="1">
        <w:r w:rsidRPr="00965122">
          <w:rPr>
            <w:rStyle w:val="Hyperlink"/>
            <w:b/>
            <w:bCs/>
            <w:lang w:val="es-MX"/>
          </w:rPr>
          <w:t>Security Trust Deed of the bond with Verdant</w:t>
        </w:r>
      </w:hyperlink>
      <w:r w:rsidRPr="00D9261A">
        <w:rPr>
          <w:lang w:val="es-MX"/>
        </w:rPr>
        <w:t xml:space="preserve"> -</w:t>
      </w:r>
      <w:r w:rsidR="00D9261A" w:rsidRPr="00D9261A">
        <w:rPr>
          <w:lang w:val="es-MX"/>
        </w:rPr>
        <w:t xml:space="preserve">  </w:t>
      </w:r>
      <w:r w:rsidR="00D9261A" w:rsidRPr="00D9261A">
        <w:rPr>
          <w:i/>
          <w:iCs/>
          <w:lang w:val="es-MX"/>
        </w:rPr>
        <w:t xml:space="preserve">Este documento detalla las interacciones entre Seven Stars y Verdant como </w:t>
      </w:r>
      <w:r w:rsidR="00F93800">
        <w:rPr>
          <w:i/>
          <w:iCs/>
          <w:lang w:val="es-MX"/>
        </w:rPr>
        <w:t xml:space="preserve">Fiduciario de </w:t>
      </w:r>
      <w:r w:rsidR="00B200C4">
        <w:rPr>
          <w:i/>
          <w:iCs/>
          <w:lang w:val="es-MX"/>
        </w:rPr>
        <w:t>Garantías</w:t>
      </w:r>
      <w:r w:rsidR="00D9261A" w:rsidRPr="00D9261A">
        <w:rPr>
          <w:i/>
          <w:iCs/>
          <w:lang w:val="es-MX"/>
        </w:rPr>
        <w:t xml:space="preserve"> y el rol de Verdant. Acerca de Verdant</w:t>
      </w:r>
      <w:r w:rsidRPr="00D9261A">
        <w:rPr>
          <w:i/>
          <w:iCs/>
          <w:lang w:val="es-MX"/>
        </w:rPr>
        <w:t xml:space="preserve">. </w:t>
      </w:r>
      <w:hyperlink r:id="rId19" w:history="1">
        <w:r w:rsidRPr="00D9261A">
          <w:rPr>
            <w:rStyle w:val="Hyperlink"/>
            <w:i/>
            <w:iCs/>
            <w:lang w:val="es-MX"/>
          </w:rPr>
          <w:t>About Verdant</w:t>
        </w:r>
      </w:hyperlink>
      <w:r w:rsidRPr="00D9261A">
        <w:rPr>
          <w:i/>
          <w:iCs/>
          <w:lang w:val="es-MX"/>
        </w:rPr>
        <w:t xml:space="preserve"> </w:t>
      </w:r>
    </w:p>
    <w:p w14:paraId="6BA5161E" w14:textId="0236FC27" w:rsidR="00C64B42" w:rsidRPr="00910816" w:rsidRDefault="0011117D" w:rsidP="00587092">
      <w:pPr>
        <w:numPr>
          <w:ilvl w:val="0"/>
          <w:numId w:val="2"/>
        </w:numPr>
        <w:rPr>
          <w:lang w:val="es-MX"/>
        </w:rPr>
      </w:pPr>
      <w:r w:rsidRPr="0011117D">
        <w:rPr>
          <w:b/>
          <w:bCs/>
          <w:lang w:val="es-MX"/>
        </w:rPr>
        <w:t>Debida Diligencia de Bufetes de Abogados: Insyte</w:t>
      </w:r>
      <w:r w:rsidR="008876D8">
        <w:rPr>
          <w:b/>
          <w:bCs/>
          <w:lang w:val="es-MX"/>
        </w:rPr>
        <w:t xml:space="preserve"> IQ</w:t>
      </w:r>
      <w:r w:rsidRPr="0011117D">
        <w:rPr>
          <w:i/>
          <w:iCs/>
          <w:lang w:val="es-MX"/>
        </w:rPr>
        <w:t xml:space="preserve"> - Seven Stars contrata a Insyte para realizar una exhaustiva diligencia debida de los bufetes de abogados prestatarios y, posteriormente, para supervisarlos y los expedientes a medida que las reclamaciones avanzan hacia la conclusión y el reembolso de los préstamos. Gran parte de este seguimiento se realiza en tiempo real y proporciona datos sobre su cartera de préstamos, que Seven Stars publica en sus boletines trimestrales, incluyendo el saldo de los tipos de casos, los bufetes de abogados, los ratios de garantía, etc. Los boletines trimestrales informan a los inversores sobre cómo Seven Stars está utilizando sus fondos y qué niveles de garantía están establecidos para cubrir las obligaciones. Este seguimiento se complementa con visitas presenciales a los bufetes para verificar toda la información relevante relativa a los casos que hemos financiado.</w:t>
      </w:r>
    </w:p>
    <w:p w14:paraId="60B85D7F" w14:textId="11B0C913" w:rsidR="0006158D" w:rsidRPr="00910816" w:rsidRDefault="00910816" w:rsidP="0006158D">
      <w:pPr>
        <w:numPr>
          <w:ilvl w:val="0"/>
          <w:numId w:val="2"/>
        </w:numPr>
        <w:rPr>
          <w:b/>
          <w:bCs/>
          <w:lang w:val="es-MX"/>
        </w:rPr>
      </w:pPr>
      <w:r w:rsidRPr="7D1EF289">
        <w:rPr>
          <w:b/>
          <w:bCs/>
          <w:lang w:val="es-MX"/>
        </w:rPr>
        <w:t>Boletines Trimestrales</w:t>
      </w:r>
      <w:r w:rsidR="00170646" w:rsidRPr="7D1EF289">
        <w:rPr>
          <w:b/>
          <w:bCs/>
          <w:lang w:val="es-MX"/>
        </w:rPr>
        <w:t xml:space="preserve"> </w:t>
      </w:r>
      <w:r w:rsidR="00077ECC" w:rsidRPr="7D1EF289">
        <w:rPr>
          <w:b/>
          <w:bCs/>
          <w:lang w:val="es-MX"/>
        </w:rPr>
        <w:t>para inversores</w:t>
      </w:r>
      <w:r>
        <w:tab/>
      </w:r>
    </w:p>
    <w:p w14:paraId="4F09749A" w14:textId="38AF35FA" w:rsidR="2BD605C8" w:rsidRDefault="2BD605C8" w:rsidP="7D1EF289">
      <w:pPr>
        <w:numPr>
          <w:ilvl w:val="1"/>
          <w:numId w:val="2"/>
        </w:numPr>
        <w:rPr>
          <w:lang w:val="es-MX"/>
        </w:rPr>
      </w:pPr>
      <w:hyperlink r:id="rId20">
        <w:r w:rsidRPr="7D1EF289">
          <w:rPr>
            <w:rStyle w:val="Hyperlink"/>
            <w:lang w:val="es-MX"/>
          </w:rPr>
          <w:t>Boletín trimestre 4 -2025</w:t>
        </w:r>
      </w:hyperlink>
    </w:p>
    <w:p w14:paraId="63E6B7B2" w14:textId="387E626C" w:rsidR="0006158D" w:rsidRPr="00910816" w:rsidRDefault="00077ECC" w:rsidP="0006158D">
      <w:pPr>
        <w:numPr>
          <w:ilvl w:val="1"/>
          <w:numId w:val="2"/>
        </w:numPr>
        <w:rPr>
          <w:lang w:val="es-MX"/>
        </w:rPr>
      </w:pPr>
      <w:hyperlink r:id="rId21" w:history="1">
        <w:r w:rsidRPr="00B46739">
          <w:rPr>
            <w:rStyle w:val="Hyperlink"/>
            <w:lang w:val="es-MX"/>
          </w:rPr>
          <w:t xml:space="preserve">Boletín </w:t>
        </w:r>
        <w:r w:rsidR="00910816" w:rsidRPr="00B46739">
          <w:rPr>
            <w:rStyle w:val="Hyperlink"/>
            <w:lang w:val="es-MX"/>
          </w:rPr>
          <w:t>trimestre</w:t>
        </w:r>
        <w:r w:rsidRPr="00B46739">
          <w:rPr>
            <w:rStyle w:val="Hyperlink"/>
            <w:lang w:val="es-MX"/>
          </w:rPr>
          <w:t xml:space="preserve"> </w:t>
        </w:r>
        <w:r w:rsidR="00910816" w:rsidRPr="00B46739">
          <w:rPr>
            <w:rStyle w:val="Hyperlink"/>
            <w:lang w:val="es-MX"/>
          </w:rPr>
          <w:t>3 -2025</w:t>
        </w:r>
      </w:hyperlink>
    </w:p>
    <w:p w14:paraId="06ED2DAD" w14:textId="1BA64553" w:rsidR="00910816" w:rsidRPr="00910816" w:rsidRDefault="00910816" w:rsidP="00910816">
      <w:pPr>
        <w:numPr>
          <w:ilvl w:val="1"/>
          <w:numId w:val="2"/>
        </w:numPr>
        <w:rPr>
          <w:lang w:val="es-MX"/>
        </w:rPr>
      </w:pPr>
      <w:hyperlink r:id="rId22" w:history="1">
        <w:r w:rsidRPr="00910816">
          <w:rPr>
            <w:rStyle w:val="Hyperlink"/>
            <w:lang w:val="es-MX"/>
          </w:rPr>
          <w:t>Boletín trimestre 2 -2025</w:t>
        </w:r>
      </w:hyperlink>
    </w:p>
    <w:p w14:paraId="31B3C00C" w14:textId="4171657C" w:rsidR="00910816" w:rsidRPr="00910816" w:rsidRDefault="00910816" w:rsidP="00910816">
      <w:pPr>
        <w:numPr>
          <w:ilvl w:val="1"/>
          <w:numId w:val="2"/>
        </w:numPr>
        <w:rPr>
          <w:lang w:val="es-MX"/>
        </w:rPr>
      </w:pPr>
      <w:hyperlink r:id="rId23" w:history="1">
        <w:r w:rsidRPr="005516F9">
          <w:rPr>
            <w:rStyle w:val="Hyperlink"/>
            <w:lang w:val="es-MX"/>
          </w:rPr>
          <w:t>Boletín trimestre 1 -2025</w:t>
        </w:r>
      </w:hyperlink>
    </w:p>
    <w:p w14:paraId="3F42D9B7" w14:textId="77777777" w:rsidR="0006158D" w:rsidRPr="00587092" w:rsidRDefault="0006158D" w:rsidP="00910816"/>
    <w:p w14:paraId="57ACBC7F" w14:textId="77777777" w:rsidR="00CB1803" w:rsidRPr="0006158D" w:rsidRDefault="00CB1803"/>
    <w:p w14:paraId="51A16C9D" w14:textId="77777777" w:rsidR="00CB1803" w:rsidRPr="0006158D" w:rsidRDefault="00CB1803"/>
    <w:sectPr w:rsidR="00CB1803" w:rsidRPr="000615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254"/>
    <w:multiLevelType w:val="multilevel"/>
    <w:tmpl w:val="956AA3D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C932729"/>
    <w:multiLevelType w:val="multilevel"/>
    <w:tmpl w:val="F51490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DB5D48"/>
    <w:multiLevelType w:val="hybridMultilevel"/>
    <w:tmpl w:val="19AE6788"/>
    <w:lvl w:ilvl="0" w:tplc="3C560CA8">
      <w:start w:val="1"/>
      <w:numFmt w:val="bullet"/>
      <w:lvlText w:val=""/>
      <w:lvlJc w:val="left"/>
      <w:pPr>
        <w:ind w:left="720" w:hanging="360"/>
      </w:pPr>
      <w:rPr>
        <w:rFonts w:ascii="Symbol" w:hAnsi="Symbol" w:hint="default"/>
      </w:rPr>
    </w:lvl>
    <w:lvl w:ilvl="1" w:tplc="05085D10">
      <w:start w:val="1"/>
      <w:numFmt w:val="bullet"/>
      <w:lvlText w:val="o"/>
      <w:lvlJc w:val="left"/>
      <w:pPr>
        <w:ind w:left="1440" w:hanging="360"/>
      </w:pPr>
      <w:rPr>
        <w:rFonts w:ascii="Courier New" w:hAnsi="Courier New" w:hint="default"/>
      </w:rPr>
    </w:lvl>
    <w:lvl w:ilvl="2" w:tplc="B8D8E426">
      <w:start w:val="1"/>
      <w:numFmt w:val="bullet"/>
      <w:lvlText w:val=""/>
      <w:lvlJc w:val="left"/>
      <w:pPr>
        <w:ind w:left="2160" w:hanging="360"/>
      </w:pPr>
      <w:rPr>
        <w:rFonts w:ascii="Wingdings" w:hAnsi="Wingdings" w:hint="default"/>
      </w:rPr>
    </w:lvl>
    <w:lvl w:ilvl="3" w:tplc="13C0FA0C">
      <w:start w:val="1"/>
      <w:numFmt w:val="bullet"/>
      <w:lvlText w:val=""/>
      <w:lvlJc w:val="left"/>
      <w:pPr>
        <w:ind w:left="2880" w:hanging="360"/>
      </w:pPr>
      <w:rPr>
        <w:rFonts w:ascii="Symbol" w:hAnsi="Symbol" w:hint="default"/>
      </w:rPr>
    </w:lvl>
    <w:lvl w:ilvl="4" w:tplc="3DECD0CE">
      <w:start w:val="1"/>
      <w:numFmt w:val="bullet"/>
      <w:lvlText w:val="o"/>
      <w:lvlJc w:val="left"/>
      <w:pPr>
        <w:ind w:left="3600" w:hanging="360"/>
      </w:pPr>
      <w:rPr>
        <w:rFonts w:ascii="Courier New" w:hAnsi="Courier New" w:hint="default"/>
      </w:rPr>
    </w:lvl>
    <w:lvl w:ilvl="5" w:tplc="F7AABFD8">
      <w:start w:val="1"/>
      <w:numFmt w:val="bullet"/>
      <w:lvlText w:val=""/>
      <w:lvlJc w:val="left"/>
      <w:pPr>
        <w:ind w:left="4320" w:hanging="360"/>
      </w:pPr>
      <w:rPr>
        <w:rFonts w:ascii="Wingdings" w:hAnsi="Wingdings" w:hint="default"/>
      </w:rPr>
    </w:lvl>
    <w:lvl w:ilvl="6" w:tplc="320093A0">
      <w:start w:val="1"/>
      <w:numFmt w:val="bullet"/>
      <w:lvlText w:val=""/>
      <w:lvlJc w:val="left"/>
      <w:pPr>
        <w:ind w:left="5040" w:hanging="360"/>
      </w:pPr>
      <w:rPr>
        <w:rFonts w:ascii="Symbol" w:hAnsi="Symbol" w:hint="default"/>
      </w:rPr>
    </w:lvl>
    <w:lvl w:ilvl="7" w:tplc="E2C43D2E">
      <w:start w:val="1"/>
      <w:numFmt w:val="bullet"/>
      <w:lvlText w:val="o"/>
      <w:lvlJc w:val="left"/>
      <w:pPr>
        <w:ind w:left="5760" w:hanging="360"/>
      </w:pPr>
      <w:rPr>
        <w:rFonts w:ascii="Courier New" w:hAnsi="Courier New" w:hint="default"/>
      </w:rPr>
    </w:lvl>
    <w:lvl w:ilvl="8" w:tplc="7F14980E">
      <w:start w:val="1"/>
      <w:numFmt w:val="bullet"/>
      <w:lvlText w:val=""/>
      <w:lvlJc w:val="left"/>
      <w:pPr>
        <w:ind w:left="6480" w:hanging="360"/>
      </w:pPr>
      <w:rPr>
        <w:rFonts w:ascii="Wingdings" w:hAnsi="Wingdings" w:hint="default"/>
      </w:rPr>
    </w:lvl>
  </w:abstractNum>
  <w:abstractNum w:abstractNumId="3" w15:restartNumberingAfterBreak="0">
    <w:nsid w:val="68BB2EB1"/>
    <w:multiLevelType w:val="multilevel"/>
    <w:tmpl w:val="F36C1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84890309">
    <w:abstractNumId w:val="2"/>
  </w:num>
  <w:num w:numId="2" w16cid:durableId="1464425273">
    <w:abstractNumId w:val="1"/>
  </w:num>
  <w:num w:numId="3" w16cid:durableId="2109153775">
    <w:abstractNumId w:val="3"/>
  </w:num>
  <w:num w:numId="4" w16cid:durableId="1925410946">
    <w:abstractNumId w:val="0"/>
  </w:num>
  <w:num w:numId="5" w16cid:durableId="30057246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03"/>
    <w:rsid w:val="0006158D"/>
    <w:rsid w:val="00065ED5"/>
    <w:rsid w:val="00077ECC"/>
    <w:rsid w:val="00094122"/>
    <w:rsid w:val="000F1EC9"/>
    <w:rsid w:val="0011117D"/>
    <w:rsid w:val="001142F5"/>
    <w:rsid w:val="001164A0"/>
    <w:rsid w:val="00123B52"/>
    <w:rsid w:val="001527E2"/>
    <w:rsid w:val="00152EF1"/>
    <w:rsid w:val="00157AB7"/>
    <w:rsid w:val="00170646"/>
    <w:rsid w:val="001931D1"/>
    <w:rsid w:val="001E1D56"/>
    <w:rsid w:val="002A1B74"/>
    <w:rsid w:val="002C309C"/>
    <w:rsid w:val="002D24DD"/>
    <w:rsid w:val="002E7FF9"/>
    <w:rsid w:val="002F4C37"/>
    <w:rsid w:val="002F5911"/>
    <w:rsid w:val="00323D9E"/>
    <w:rsid w:val="003348C6"/>
    <w:rsid w:val="00343AC3"/>
    <w:rsid w:val="003634DE"/>
    <w:rsid w:val="003B2D53"/>
    <w:rsid w:val="003D0E0B"/>
    <w:rsid w:val="0045165D"/>
    <w:rsid w:val="00460ECB"/>
    <w:rsid w:val="00466966"/>
    <w:rsid w:val="00472CF9"/>
    <w:rsid w:val="00477220"/>
    <w:rsid w:val="00480B6C"/>
    <w:rsid w:val="00492FF2"/>
    <w:rsid w:val="004B3B79"/>
    <w:rsid w:val="004E1751"/>
    <w:rsid w:val="004E49C8"/>
    <w:rsid w:val="00501FD4"/>
    <w:rsid w:val="00502CED"/>
    <w:rsid w:val="00511CAE"/>
    <w:rsid w:val="005516F9"/>
    <w:rsid w:val="00556369"/>
    <w:rsid w:val="0056540E"/>
    <w:rsid w:val="00576260"/>
    <w:rsid w:val="00584019"/>
    <w:rsid w:val="00587092"/>
    <w:rsid w:val="005A6A1D"/>
    <w:rsid w:val="005B0FC0"/>
    <w:rsid w:val="00605FEE"/>
    <w:rsid w:val="006953BD"/>
    <w:rsid w:val="006C5F37"/>
    <w:rsid w:val="007C1061"/>
    <w:rsid w:val="007C2A7A"/>
    <w:rsid w:val="007E5484"/>
    <w:rsid w:val="00852464"/>
    <w:rsid w:val="00855785"/>
    <w:rsid w:val="008876D8"/>
    <w:rsid w:val="00910816"/>
    <w:rsid w:val="00927C94"/>
    <w:rsid w:val="00932CC5"/>
    <w:rsid w:val="009410DB"/>
    <w:rsid w:val="0094422E"/>
    <w:rsid w:val="00955A1D"/>
    <w:rsid w:val="00965122"/>
    <w:rsid w:val="00A1070B"/>
    <w:rsid w:val="00A20393"/>
    <w:rsid w:val="00A40755"/>
    <w:rsid w:val="00A7081C"/>
    <w:rsid w:val="00A802BB"/>
    <w:rsid w:val="00A813F1"/>
    <w:rsid w:val="00A930CF"/>
    <w:rsid w:val="00A9318E"/>
    <w:rsid w:val="00AE7A9F"/>
    <w:rsid w:val="00B200C4"/>
    <w:rsid w:val="00B22145"/>
    <w:rsid w:val="00B46739"/>
    <w:rsid w:val="00B50DC2"/>
    <w:rsid w:val="00B61C10"/>
    <w:rsid w:val="00B7474A"/>
    <w:rsid w:val="00BF421A"/>
    <w:rsid w:val="00C2578D"/>
    <w:rsid w:val="00C615F2"/>
    <w:rsid w:val="00C64B42"/>
    <w:rsid w:val="00CA20A8"/>
    <w:rsid w:val="00CB1803"/>
    <w:rsid w:val="00CE0620"/>
    <w:rsid w:val="00D426F9"/>
    <w:rsid w:val="00D70EF1"/>
    <w:rsid w:val="00D718DC"/>
    <w:rsid w:val="00D80112"/>
    <w:rsid w:val="00D83143"/>
    <w:rsid w:val="00D9261A"/>
    <w:rsid w:val="00DD56A3"/>
    <w:rsid w:val="00DD6911"/>
    <w:rsid w:val="00DE6D6A"/>
    <w:rsid w:val="00DF385A"/>
    <w:rsid w:val="00E02438"/>
    <w:rsid w:val="00E54157"/>
    <w:rsid w:val="00E70C13"/>
    <w:rsid w:val="00E75A65"/>
    <w:rsid w:val="00E90D0D"/>
    <w:rsid w:val="00EC500B"/>
    <w:rsid w:val="00EE1F0F"/>
    <w:rsid w:val="00EF165E"/>
    <w:rsid w:val="00EF328F"/>
    <w:rsid w:val="00F22DEC"/>
    <w:rsid w:val="00F254D1"/>
    <w:rsid w:val="00F43AF6"/>
    <w:rsid w:val="00F54ADB"/>
    <w:rsid w:val="00F93800"/>
    <w:rsid w:val="00FD6852"/>
    <w:rsid w:val="00FE7854"/>
    <w:rsid w:val="2BD605C8"/>
    <w:rsid w:val="35DF6C80"/>
    <w:rsid w:val="52C41014"/>
    <w:rsid w:val="6F738100"/>
    <w:rsid w:val="78FE8B51"/>
    <w:rsid w:val="7D1EF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2C96"/>
  <w15:chartTrackingRefBased/>
  <w15:docId w15:val="{DFCAE0EC-CE38-46B8-8E59-DEBB615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803"/>
    <w:rPr>
      <w:rFonts w:eastAsiaTheme="majorEastAsia" w:cstheme="majorBidi"/>
      <w:color w:val="272727" w:themeColor="text1" w:themeTint="D8"/>
    </w:rPr>
  </w:style>
  <w:style w:type="paragraph" w:styleId="Title">
    <w:name w:val="Title"/>
    <w:basedOn w:val="Normal"/>
    <w:next w:val="Normal"/>
    <w:link w:val="TitleChar"/>
    <w:uiPriority w:val="10"/>
    <w:qFormat/>
    <w:rsid w:val="00CB1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803"/>
    <w:pPr>
      <w:spacing w:before="160"/>
      <w:jc w:val="center"/>
    </w:pPr>
    <w:rPr>
      <w:i/>
      <w:iCs/>
      <w:color w:val="404040" w:themeColor="text1" w:themeTint="BF"/>
    </w:rPr>
  </w:style>
  <w:style w:type="character" w:customStyle="1" w:styleId="QuoteChar">
    <w:name w:val="Quote Char"/>
    <w:basedOn w:val="DefaultParagraphFont"/>
    <w:link w:val="Quote"/>
    <w:uiPriority w:val="29"/>
    <w:rsid w:val="00CB1803"/>
    <w:rPr>
      <w:i/>
      <w:iCs/>
      <w:color w:val="404040" w:themeColor="text1" w:themeTint="BF"/>
    </w:rPr>
  </w:style>
  <w:style w:type="paragraph" w:styleId="ListParagraph">
    <w:name w:val="List Paragraph"/>
    <w:basedOn w:val="Normal"/>
    <w:qFormat/>
    <w:rsid w:val="00CB1803"/>
    <w:pPr>
      <w:ind w:left="720"/>
      <w:contextualSpacing/>
    </w:pPr>
  </w:style>
  <w:style w:type="character" w:styleId="IntenseEmphasis">
    <w:name w:val="Intense Emphasis"/>
    <w:basedOn w:val="DefaultParagraphFont"/>
    <w:uiPriority w:val="21"/>
    <w:qFormat/>
    <w:rsid w:val="00CB1803"/>
    <w:rPr>
      <w:i/>
      <w:iCs/>
      <w:color w:val="0F4761" w:themeColor="accent1" w:themeShade="BF"/>
    </w:rPr>
  </w:style>
  <w:style w:type="paragraph" w:styleId="IntenseQuote">
    <w:name w:val="Intense Quote"/>
    <w:basedOn w:val="Normal"/>
    <w:next w:val="Normal"/>
    <w:link w:val="IntenseQuoteChar"/>
    <w:uiPriority w:val="30"/>
    <w:qFormat/>
    <w:rsid w:val="00CB1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803"/>
    <w:rPr>
      <w:i/>
      <w:iCs/>
      <w:color w:val="0F4761" w:themeColor="accent1" w:themeShade="BF"/>
    </w:rPr>
  </w:style>
  <w:style w:type="character" w:styleId="IntenseReference">
    <w:name w:val="Intense Reference"/>
    <w:basedOn w:val="DefaultParagraphFont"/>
    <w:uiPriority w:val="32"/>
    <w:qFormat/>
    <w:rsid w:val="00CB1803"/>
    <w:rPr>
      <w:b/>
      <w:bCs/>
      <w:smallCaps/>
      <w:color w:val="0F4761" w:themeColor="accent1" w:themeShade="BF"/>
      <w:spacing w:val="5"/>
    </w:rPr>
  </w:style>
  <w:style w:type="character" w:styleId="Hyperlink">
    <w:name w:val="Hyperlink"/>
    <w:basedOn w:val="DefaultParagraphFont"/>
    <w:uiPriority w:val="99"/>
    <w:unhideWhenUsed/>
    <w:rsid w:val="00587092"/>
    <w:rPr>
      <w:color w:val="467886" w:themeColor="hyperlink"/>
      <w:u w:val="single"/>
    </w:rPr>
  </w:style>
  <w:style w:type="character" w:styleId="UnresolvedMention">
    <w:name w:val="Unresolved Mention"/>
    <w:basedOn w:val="DefaultParagraphFont"/>
    <w:uiPriority w:val="99"/>
    <w:semiHidden/>
    <w:unhideWhenUsed/>
    <w:rsid w:val="00587092"/>
    <w:rPr>
      <w:color w:val="605E5C"/>
      <w:shd w:val="clear" w:color="auto" w:fill="E1DFDD"/>
    </w:rPr>
  </w:style>
  <w:style w:type="character" w:styleId="FollowedHyperlink">
    <w:name w:val="FollowedHyperlink"/>
    <w:basedOn w:val="DefaultParagraphFont"/>
    <w:uiPriority w:val="99"/>
    <w:semiHidden/>
    <w:unhideWhenUsed/>
    <w:rsid w:val="002A1B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ulador-bonos.kngadvisors.com/storage/biblioteca/investment-memorandum-seven-stars-serie-4_BojN3.pdf" TargetMode="External"/><Relationship Id="rId13" Type="http://schemas.openxmlformats.org/officeDocument/2006/relationships/hyperlink" Target="https://simulador-bonos.kngadvisors.com/storage/biblioteca/factsheet-series-4-bond-summary_um1kw.pdf" TargetMode="External"/><Relationship Id="rId18" Type="http://schemas.openxmlformats.org/officeDocument/2006/relationships/hyperlink" Target="https://simulador-bonos.kngadvisors.com/storage/biblioteca/security-trust-deed-of-the-bond-with-verdant_vxWim.pdf" TargetMode="External"/><Relationship Id="rId3" Type="http://schemas.openxmlformats.org/officeDocument/2006/relationships/settings" Target="settings.xml"/><Relationship Id="rId21" Type="http://schemas.openxmlformats.org/officeDocument/2006/relationships/hyperlink" Target="https://simulador-bonos.kngadvisors.com/storage/biblioteca/seven-stars-newsletter-q3-2025_TWKcu.pdf" TargetMode="External"/><Relationship Id="rId7" Type="http://schemas.openxmlformats.org/officeDocument/2006/relationships/hyperlink" Target="https://simulador-bonos.kngadvisors.com/storage/biblioteca/factsheet-seven-stars-serie-4_lZDph.pdf" TargetMode="External"/><Relationship Id="rId12" Type="http://schemas.openxmlformats.org/officeDocument/2006/relationships/hyperlink" Target="https://simulador-bonos.kngadvisors.co.uk/storage/biblioteca/seven-stars-gobierno-corporativo_Ej9fk.pdf" TargetMode="External"/><Relationship Id="rId17" Type="http://schemas.openxmlformats.org/officeDocument/2006/relationships/hyperlink" Target="https://simulador-bonos.kngadvisors.co.uk/storage/biblioteca/seven-stars-declaracin-de-apoyo-a-las-cuentas-de-la-empresa-2025_2P79U.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mulador-bonos.kngadvisors.co.uk/storage/biblioteca/seven-stars-estados-financieros-2024_WtoFV.pdf" TargetMode="External"/><Relationship Id="rId20" Type="http://schemas.openxmlformats.org/officeDocument/2006/relationships/hyperlink" Target="https://simulador-bonos.kngadvisors.com/storage/biblioteca/seven-stars-newsletter-t4-2025_YtLCo.pdf" TargetMode="External"/><Relationship Id="rId1" Type="http://schemas.openxmlformats.org/officeDocument/2006/relationships/numbering" Target="numbering.xml"/><Relationship Id="rId6" Type="http://schemas.openxmlformats.org/officeDocument/2006/relationships/hyperlink" Target="https://simulador-bonos.kngadvisors.com/storage/biblioteca/investment-memorandum-series-1-dec-2028-usd_DttPo.pdf" TargetMode="External"/><Relationship Id="rId11" Type="http://schemas.openxmlformats.org/officeDocument/2006/relationships/hyperlink" Target="https://simulador-bonos.kngadvisors.com/storage/biblioteca/seven-stars-financiacin-de-litigios-y-nuestros-bonos-de-financiacin-de-litigios_bRZMS.pdf" TargetMode="External"/><Relationship Id="rId24" Type="http://schemas.openxmlformats.org/officeDocument/2006/relationships/fontTable" Target="fontTable.xml"/><Relationship Id="rId5" Type="http://schemas.openxmlformats.org/officeDocument/2006/relationships/hyperlink" Target="https://simulador-bonos.kngadvisors.com/storage/biblioteca/factsheet-seven-stars-serie-1-usd_vx7HB.pdf" TargetMode="External"/><Relationship Id="rId15" Type="http://schemas.openxmlformats.org/officeDocument/2006/relationships/hyperlink" Target="https://simulador-bonos.kngadvisors.co.uk/storage/biblioteca/seven-stars-faq_UvBdc.pdf" TargetMode="External"/><Relationship Id="rId23" Type="http://schemas.openxmlformats.org/officeDocument/2006/relationships/hyperlink" Target="https://simulador-bonos.kngadvisors.com/storage/biblioteca/seven-stars-newsletter-q1-2025_JGxjy.pdf" TargetMode="External"/><Relationship Id="rId10" Type="http://schemas.openxmlformats.org/officeDocument/2006/relationships/hyperlink" Target="https://simulador-bonos.kngadvisors.com/storage/biblioteca/investment-memorandum-seven-stars-serie-4_BojN3.pdf" TargetMode="External"/><Relationship Id="rId19" Type="http://schemas.openxmlformats.org/officeDocument/2006/relationships/hyperlink" Target="https://simulador-bonos.kngadvisors.com/storage/biblioteca/about-us-verdant-v0_n7TOI.pdf" TargetMode="External"/><Relationship Id="rId4" Type="http://schemas.openxmlformats.org/officeDocument/2006/relationships/webSettings" Target="webSettings.xml"/><Relationship Id="rId9" Type="http://schemas.openxmlformats.org/officeDocument/2006/relationships/hyperlink" Target="https://simulador-bonos.kngadvisors.com/storage/biblioteca/factsheet-series-4-bond-summary_um1kw.pdf" TargetMode="External"/><Relationship Id="rId14" Type="http://schemas.openxmlformats.org/officeDocument/2006/relationships/hyperlink" Target="https://simulador-bonos.kngadvisors.co.uk/storage/biblioteca/seven-stars-estructura-del-bono_vNU3c.pdf" TargetMode="External"/><Relationship Id="rId22" Type="http://schemas.openxmlformats.org/officeDocument/2006/relationships/hyperlink" Target="https://simulador-bonos.kngadvisors.co.uk/storage/biblioteca/newsletter-t2-2025_0lI4w.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1259</Words>
  <Characters>6665</Characters>
  <Application>Microsoft Office Word</Application>
  <DocSecurity>0</DocSecurity>
  <Lines>148</Lines>
  <Paragraphs>78</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Emberson</dc:creator>
  <cp:keywords/>
  <dc:description/>
  <cp:lastModifiedBy>Neil Emberson</cp:lastModifiedBy>
  <cp:revision>70</cp:revision>
  <dcterms:created xsi:type="dcterms:W3CDTF">2025-09-19T18:17:00Z</dcterms:created>
  <dcterms:modified xsi:type="dcterms:W3CDTF">2026-02-09T16:24:00Z</dcterms:modified>
</cp:coreProperties>
</file>