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F4C60" w14:textId="678CA891" w:rsidR="00723F65" w:rsidRDefault="00723F65" w:rsidP="00723F65">
      <w:pPr>
        <w:rPr>
          <w:b/>
          <w:bCs/>
          <w:i/>
          <w:iCs/>
        </w:rPr>
      </w:pPr>
      <w:r>
        <w:rPr>
          <w:b/>
          <w:bCs/>
          <w:i/>
          <w:iCs/>
        </w:rPr>
        <w:t>UK Private Debt: High Yield Fixed Income – Seven Stars Legal Funding (17.5%pa)</w:t>
      </w:r>
    </w:p>
    <w:p w14:paraId="1916493D" w14:textId="77777777" w:rsidR="00CB07E9" w:rsidRDefault="00723F65" w:rsidP="00723F65">
      <w:r>
        <w:br/>
      </w:r>
      <w:r w:rsidR="00CB07E9">
        <w:t>Dear ,</w:t>
      </w:r>
    </w:p>
    <w:p w14:paraId="4FE3AE0C" w14:textId="77777777" w:rsidR="00CB07E9" w:rsidRDefault="00CB07E9" w:rsidP="00723F65"/>
    <w:p w14:paraId="6CC89724" w14:textId="77777777" w:rsidR="00AD7AB7" w:rsidRDefault="00CB07E9" w:rsidP="00723F65">
      <w:r>
        <w:t xml:space="preserve">Great meeting you </w:t>
      </w:r>
      <w:r w:rsidR="00AD7AB7">
        <w:t>at……………</w:t>
      </w:r>
    </w:p>
    <w:p w14:paraId="1311EBC0" w14:textId="721CF143" w:rsidR="00723F65" w:rsidRDefault="00723F65" w:rsidP="00723F65">
      <w:r>
        <w:t xml:space="preserve">Continuing our discussion this email will present a </w:t>
      </w:r>
      <w:r w:rsidR="00AD7AB7">
        <w:t>our</w:t>
      </w:r>
      <w:r>
        <w:t xml:space="preserve"> Private Debt investment option in the Precedent Led Litigation Finance Sector in the UK, with</w:t>
      </w:r>
      <w:r>
        <w:rPr>
          <w:b/>
          <w:bCs/>
        </w:rPr>
        <w:t xml:space="preserve"> Seven Stars Legal Funding</w:t>
      </w:r>
      <w:r w:rsidR="00210988">
        <w:rPr>
          <w:b/>
          <w:bCs/>
        </w:rPr>
        <w:t xml:space="preserve"> Ltd</w:t>
      </w:r>
      <w:r>
        <w:rPr>
          <w:b/>
          <w:bCs/>
        </w:rPr>
        <w:t xml:space="preserve">. </w:t>
      </w:r>
      <w:r>
        <w:rPr>
          <w:b/>
          <w:bCs/>
        </w:rPr>
        <w:br/>
      </w:r>
      <w:r>
        <w:rPr>
          <w:b/>
          <w:bCs/>
        </w:rPr>
        <w:br/>
      </w:r>
      <w:r w:rsidRPr="00210988">
        <w:rPr>
          <w:i/>
          <w:iCs/>
        </w:rPr>
        <w:t>The UK litigation finance sector has quadrupled in the last 12 years and Swiss RE estimate the sector´s capitalization is around $2.7 billion summing up UK´s top 15 litigation companies.</w:t>
      </w:r>
    </w:p>
    <w:p w14:paraId="318DD54E" w14:textId="6CC3BBD4" w:rsidR="00723F65" w:rsidRDefault="00723F65" w:rsidP="00723F65">
      <w:r>
        <w:rPr>
          <w:b/>
          <w:bCs/>
        </w:rPr>
        <w:br/>
        <w:t>Seven Stars</w:t>
      </w:r>
      <w:r w:rsidR="00210988">
        <w:rPr>
          <w:b/>
          <w:bCs/>
        </w:rPr>
        <w:t xml:space="preserve"> Legal Funding </w:t>
      </w:r>
      <w:r>
        <w:rPr>
          <w:b/>
          <w:bCs/>
        </w:rPr>
        <w:t xml:space="preserve"> </w:t>
      </w:r>
      <w:r>
        <w:t xml:space="preserve">have issued a £50 million raise via their loan notes series for the financing of </w:t>
      </w:r>
      <w:r>
        <w:rPr>
          <w:b/>
          <w:bCs/>
        </w:rPr>
        <w:t>precedent led</w:t>
      </w:r>
      <w:r>
        <w:t xml:space="preserve"> ligation cases in the UK. </w:t>
      </w:r>
      <w:r>
        <w:br/>
      </w:r>
    </w:p>
    <w:p w14:paraId="293CDFCA" w14:textId="59EF382F" w:rsidR="00723F65" w:rsidRDefault="00723F65" w:rsidP="00723F65">
      <w:pPr>
        <w:rPr>
          <w:b/>
          <w:bCs/>
        </w:rPr>
      </w:pPr>
      <w:r>
        <w:rPr>
          <w:b/>
          <w:bCs/>
        </w:rPr>
        <w:t xml:space="preserve">The Seven Stars Loan Note series offers  a fixed interest rates of 17.5%pa </w:t>
      </w:r>
      <w:r w:rsidR="00FA03A3">
        <w:rPr>
          <w:b/>
          <w:bCs/>
        </w:rPr>
        <w:t xml:space="preserve">with half yearly coupons and maturity date </w:t>
      </w:r>
      <w:r w:rsidR="002860F5">
        <w:rPr>
          <w:b/>
          <w:bCs/>
        </w:rPr>
        <w:t>of 31</w:t>
      </w:r>
      <w:r w:rsidR="002860F5" w:rsidRPr="002860F5">
        <w:rPr>
          <w:b/>
          <w:bCs/>
          <w:vertAlign w:val="superscript"/>
        </w:rPr>
        <w:t>st</w:t>
      </w:r>
      <w:r w:rsidR="002860F5">
        <w:rPr>
          <w:b/>
          <w:bCs/>
        </w:rPr>
        <w:t xml:space="preserve"> December 2028.</w:t>
      </w:r>
    </w:p>
    <w:p w14:paraId="1F6202AE" w14:textId="77777777" w:rsidR="00723F65" w:rsidRDefault="00723F65" w:rsidP="00723F65">
      <w:r>
        <w:br/>
      </w:r>
      <w:r>
        <w:rPr>
          <w:b/>
          <w:bCs/>
        </w:rPr>
        <w:t>Seven Stars Legal Funding</w:t>
      </w:r>
      <w:r>
        <w:t xml:space="preserve"> was established as an investment firm aiming to generate market-leading returns for investors within the prestigious and regulated UK legal services sector, specifically in litigation cost financing and case generation.</w:t>
      </w:r>
    </w:p>
    <w:p w14:paraId="0E0D8CD4" w14:textId="77777777" w:rsidR="00723F65" w:rsidRDefault="00723F65" w:rsidP="00723F65"/>
    <w:p w14:paraId="38E05CA9" w14:textId="77777777" w:rsidR="00723F65" w:rsidRDefault="00723F65" w:rsidP="00723F65">
      <w:r>
        <w:t>From 2024 onwards, the firm will invest exclusively in the UK and provide loans to companies operating within the British legal sector, globally recognized as one of the leading jurisdictions for legal services. Seven Stars was incubated by a highly successful litigation finance team with an outstanding track record, which identified a substantial funding opportunity that far exceeded its existing needs.</w:t>
      </w:r>
    </w:p>
    <w:p w14:paraId="124F895A" w14:textId="77777777" w:rsidR="00723F65" w:rsidRDefault="00723F65" w:rsidP="00723F65"/>
    <w:p w14:paraId="1054FFE4" w14:textId="77777777" w:rsidR="00723F65" w:rsidRDefault="00723F65" w:rsidP="00723F65">
      <w:r>
        <w:t>Consequently, Seven Stars was created to become a leading independent, non-bank litigation cost financier. By the end of 2023, it had raised £40 million, funded more than 15,000 litigation cases and generated an additional potential of 350,000 cases.</w:t>
      </w:r>
    </w:p>
    <w:p w14:paraId="27E9782A" w14:textId="77777777" w:rsidR="00723F65" w:rsidRDefault="00723F65" w:rsidP="00723F65">
      <w:pPr>
        <w:pageBreakBefore/>
        <w:rPr>
          <w:b/>
          <w:bCs/>
        </w:rPr>
      </w:pPr>
    </w:p>
    <w:p w14:paraId="42B3AEC9" w14:textId="77777777" w:rsidR="00723F65" w:rsidRDefault="00723F65" w:rsidP="00723F65">
      <w:pPr>
        <w:rPr>
          <w:b/>
          <w:bCs/>
        </w:rPr>
      </w:pPr>
      <w:r>
        <w:rPr>
          <w:b/>
          <w:bCs/>
        </w:rPr>
        <w:t>Main Characteristics of the Seven Stars Loan Note (Series 1)</w:t>
      </w:r>
    </w:p>
    <w:p w14:paraId="02453276" w14:textId="04015468" w:rsidR="00723F65" w:rsidRDefault="00723F65" w:rsidP="00723F65"/>
    <w:p w14:paraId="288D41BE" w14:textId="420FD07B" w:rsidR="1E18E02E" w:rsidRDefault="1E18E02E" w:rsidP="1E18E02E">
      <w:pPr>
        <w:pStyle w:val="Prrafodelista"/>
        <w:shd w:val="clear" w:color="auto" w:fill="FFFFFF" w:themeFill="background1"/>
        <w:spacing w:after="0"/>
        <w:contextualSpacing w:val="0"/>
      </w:pPr>
    </w:p>
    <w:p w14:paraId="33AD7963" w14:textId="77777777" w:rsidR="00723F65" w:rsidRDefault="00723F65" w:rsidP="00723F65">
      <w:pPr>
        <w:pStyle w:val="Prrafodelista"/>
        <w:numPr>
          <w:ilvl w:val="0"/>
          <w:numId w:val="1"/>
        </w:numPr>
        <w:shd w:val="clear" w:color="auto" w:fill="FFFFFF"/>
        <w:spacing w:after="0"/>
        <w:contextualSpacing w:val="0"/>
      </w:pPr>
      <w:r>
        <w:rPr>
          <w:rFonts w:cs="Aptos"/>
          <w:b/>
          <w:bCs/>
          <w:color w:val="000000"/>
          <w:sz w:val="21"/>
          <w:szCs w:val="21"/>
        </w:rPr>
        <w:t>Bond Type:</w:t>
      </w:r>
      <w:r>
        <w:rPr>
          <w:rFonts w:cs="Aptos"/>
          <w:color w:val="000000"/>
          <w:sz w:val="21"/>
          <w:szCs w:val="21"/>
        </w:rPr>
        <w:t xml:space="preserve"> Senior Secured Loan Note</w:t>
      </w:r>
    </w:p>
    <w:p w14:paraId="21169E5D" w14:textId="77777777" w:rsidR="00723F65" w:rsidRDefault="00723F65" w:rsidP="00723F65">
      <w:pPr>
        <w:pStyle w:val="Prrafodelista"/>
        <w:numPr>
          <w:ilvl w:val="0"/>
          <w:numId w:val="1"/>
        </w:numPr>
        <w:shd w:val="clear" w:color="auto" w:fill="FFFFFF"/>
        <w:spacing w:after="0"/>
        <w:contextualSpacing w:val="0"/>
      </w:pPr>
      <w:r>
        <w:rPr>
          <w:rFonts w:cs="Aptos"/>
          <w:b/>
          <w:bCs/>
          <w:color w:val="000000"/>
          <w:sz w:val="21"/>
          <w:szCs w:val="21"/>
          <w:u w:val="single"/>
        </w:rPr>
        <w:t>Series 1 Yield</w:t>
      </w:r>
      <w:r>
        <w:rPr>
          <w:rFonts w:cs="Aptos"/>
          <w:b/>
          <w:bCs/>
          <w:color w:val="000000"/>
          <w:sz w:val="21"/>
          <w:szCs w:val="21"/>
        </w:rPr>
        <w:t xml:space="preserve">: </w:t>
      </w:r>
      <w:r w:rsidRPr="009E2334">
        <w:rPr>
          <w:rFonts w:cs="Aptos"/>
          <w:color w:val="000000"/>
          <w:sz w:val="21"/>
          <w:szCs w:val="21"/>
        </w:rPr>
        <w:t>17.5% per annum</w:t>
      </w:r>
    </w:p>
    <w:p w14:paraId="7BC626A1" w14:textId="77777777" w:rsidR="00723F65" w:rsidRDefault="00723F65" w:rsidP="00723F65">
      <w:pPr>
        <w:pStyle w:val="Prrafodelista"/>
        <w:numPr>
          <w:ilvl w:val="0"/>
          <w:numId w:val="1"/>
        </w:numPr>
        <w:shd w:val="clear" w:color="auto" w:fill="FFFFFF"/>
        <w:spacing w:after="0"/>
        <w:contextualSpacing w:val="0"/>
      </w:pPr>
      <w:r>
        <w:rPr>
          <w:rFonts w:cs="Aptos"/>
          <w:b/>
          <w:bCs/>
          <w:color w:val="000000"/>
          <w:sz w:val="21"/>
          <w:szCs w:val="21"/>
        </w:rPr>
        <w:t>Maturity Date:</w:t>
      </w:r>
      <w:r>
        <w:rPr>
          <w:rFonts w:cs="Aptos"/>
          <w:color w:val="000000"/>
          <w:sz w:val="21"/>
          <w:szCs w:val="21"/>
        </w:rPr>
        <w:t xml:space="preserve"> 31 December 2028</w:t>
      </w:r>
    </w:p>
    <w:p w14:paraId="7BC4EE50" w14:textId="77777777" w:rsidR="00723F65" w:rsidRDefault="00723F65" w:rsidP="00723F65">
      <w:pPr>
        <w:pStyle w:val="Prrafodelista"/>
        <w:numPr>
          <w:ilvl w:val="0"/>
          <w:numId w:val="1"/>
        </w:numPr>
        <w:shd w:val="clear" w:color="auto" w:fill="FFFFFF"/>
        <w:spacing w:after="0"/>
        <w:contextualSpacing w:val="0"/>
      </w:pPr>
      <w:r>
        <w:rPr>
          <w:rFonts w:cs="Aptos"/>
          <w:b/>
          <w:bCs/>
          <w:color w:val="000000"/>
          <w:sz w:val="21"/>
          <w:szCs w:val="21"/>
        </w:rPr>
        <w:t>Minimum Investment:</w:t>
      </w:r>
      <w:r>
        <w:rPr>
          <w:rFonts w:cs="Aptos"/>
          <w:color w:val="000000"/>
          <w:sz w:val="21"/>
          <w:szCs w:val="21"/>
        </w:rPr>
        <w:t xml:space="preserve"> USD 50,000 or GBP 50,000</w:t>
      </w:r>
    </w:p>
    <w:p w14:paraId="4CF76EC5" w14:textId="77777777" w:rsidR="00723F65" w:rsidRDefault="00723F65" w:rsidP="00723F65">
      <w:pPr>
        <w:pStyle w:val="Prrafodelista"/>
        <w:numPr>
          <w:ilvl w:val="0"/>
          <w:numId w:val="1"/>
        </w:numPr>
        <w:shd w:val="clear" w:color="auto" w:fill="FFFFFF"/>
        <w:spacing w:after="0"/>
        <w:contextualSpacing w:val="0"/>
      </w:pPr>
      <w:r>
        <w:rPr>
          <w:rFonts w:cs="Aptos"/>
          <w:b/>
          <w:bCs/>
          <w:color w:val="000000"/>
          <w:sz w:val="21"/>
          <w:szCs w:val="21"/>
        </w:rPr>
        <w:t>Payment Frequency:</w:t>
      </w:r>
      <w:r>
        <w:rPr>
          <w:rFonts w:cs="Aptos"/>
          <w:color w:val="000000"/>
          <w:sz w:val="21"/>
          <w:szCs w:val="21"/>
        </w:rPr>
        <w:t xml:space="preserve"> Semi-annually on 30 June and 31 December (8.75%)</w:t>
      </w:r>
    </w:p>
    <w:p w14:paraId="4B615136" w14:textId="33D93990" w:rsidR="00723F65" w:rsidRDefault="00723F65" w:rsidP="00723F65">
      <w:pPr>
        <w:pStyle w:val="Prrafodelista"/>
        <w:numPr>
          <w:ilvl w:val="0"/>
          <w:numId w:val="1"/>
        </w:numPr>
        <w:shd w:val="clear" w:color="auto" w:fill="FFFFFF"/>
        <w:spacing w:after="0"/>
        <w:contextualSpacing w:val="0"/>
      </w:pPr>
      <w:r>
        <w:rPr>
          <w:rFonts w:cs="Aptos"/>
          <w:b/>
          <w:bCs/>
          <w:color w:val="000000"/>
          <w:sz w:val="21"/>
          <w:szCs w:val="21"/>
          <w:u w:val="single"/>
        </w:rPr>
        <w:t>Series 4 Yield:</w:t>
      </w:r>
      <w:r>
        <w:rPr>
          <w:rFonts w:cs="Aptos"/>
          <w:b/>
          <w:bCs/>
          <w:color w:val="000000"/>
          <w:sz w:val="21"/>
          <w:szCs w:val="21"/>
        </w:rPr>
        <w:t xml:space="preserve"> </w:t>
      </w:r>
      <w:r>
        <w:rPr>
          <w:rFonts w:cs="Aptos"/>
          <w:color w:val="000000"/>
          <w:sz w:val="21"/>
          <w:szCs w:val="21"/>
        </w:rPr>
        <w:t xml:space="preserve">14%pa + bonus </w:t>
      </w:r>
      <w:r w:rsidR="00E76950">
        <w:rPr>
          <w:rFonts w:cs="Aptos"/>
          <w:color w:val="000000"/>
          <w:sz w:val="21"/>
          <w:szCs w:val="21"/>
        </w:rPr>
        <w:t xml:space="preserve">of 9% </w:t>
      </w:r>
      <w:r>
        <w:rPr>
          <w:rFonts w:cs="Aptos"/>
          <w:color w:val="000000"/>
          <w:sz w:val="21"/>
          <w:szCs w:val="21"/>
        </w:rPr>
        <w:t>at maturity</w:t>
      </w:r>
      <w:r w:rsidR="00E76950">
        <w:rPr>
          <w:rFonts w:cs="Aptos"/>
          <w:color w:val="000000"/>
          <w:sz w:val="21"/>
          <w:szCs w:val="21"/>
        </w:rPr>
        <w:t xml:space="preserve"> 18 months</w:t>
      </w:r>
      <w:r>
        <w:rPr>
          <w:rFonts w:cs="Aptos"/>
          <w:color w:val="000000"/>
          <w:sz w:val="21"/>
          <w:szCs w:val="21"/>
        </w:rPr>
        <w:t xml:space="preserve"> </w:t>
      </w:r>
      <w:r>
        <w:rPr>
          <w:rFonts w:cs="Aptos"/>
          <w:color w:val="EE0000"/>
          <w:sz w:val="21"/>
          <w:szCs w:val="21"/>
        </w:rPr>
        <w:t>(check availability)</w:t>
      </w:r>
    </w:p>
    <w:p w14:paraId="6F754FB1" w14:textId="77777777" w:rsidR="00723F65" w:rsidRDefault="00723F65" w:rsidP="1E18E02E">
      <w:pPr>
        <w:pStyle w:val="Prrafodelista"/>
        <w:numPr>
          <w:ilvl w:val="0"/>
          <w:numId w:val="1"/>
        </w:numPr>
        <w:shd w:val="clear" w:color="auto" w:fill="FFFFFF" w:themeFill="background1"/>
        <w:spacing w:after="0"/>
        <w:contextualSpacing w:val="0"/>
        <w:rPr>
          <w:rFonts w:cs="Aptos"/>
          <w:color w:val="000000" w:themeColor="text1"/>
          <w:sz w:val="21"/>
          <w:szCs w:val="21"/>
        </w:rPr>
      </w:pPr>
      <w:r w:rsidRPr="1E18E02E">
        <w:rPr>
          <w:rFonts w:cs="Aptos"/>
          <w:b/>
          <w:bCs/>
          <w:color w:val="000000" w:themeColor="text1"/>
          <w:sz w:val="21"/>
          <w:szCs w:val="21"/>
        </w:rPr>
        <w:t>Maturity Date:</w:t>
      </w:r>
      <w:r w:rsidRPr="1E18E02E">
        <w:rPr>
          <w:rFonts w:cs="Aptos"/>
          <w:color w:val="000000" w:themeColor="text1"/>
          <w:sz w:val="21"/>
          <w:szCs w:val="21"/>
        </w:rPr>
        <w:t xml:space="preserve"> Sept 2026 with 6% bonus at maturity or if it extends another 6 months March 2027 with a 9% bonus. Coupons paid at maturity </w:t>
      </w:r>
    </w:p>
    <w:p w14:paraId="36D320B4" w14:textId="3566DE7A" w:rsidR="7AE6433C" w:rsidRDefault="7AE6433C" w:rsidP="1E18E02E">
      <w:pPr>
        <w:pStyle w:val="Prrafodelista"/>
        <w:numPr>
          <w:ilvl w:val="0"/>
          <w:numId w:val="1"/>
        </w:numPr>
        <w:shd w:val="clear" w:color="auto" w:fill="FFFFFF" w:themeFill="background1"/>
        <w:spacing w:after="0"/>
        <w:contextualSpacing w:val="0"/>
      </w:pPr>
      <w:r w:rsidRPr="1E18E02E">
        <w:rPr>
          <w:rFonts w:ascii="Helvetica" w:eastAsia="Helvetica" w:hAnsi="Helvetica" w:cs="Helvetica"/>
          <w:b/>
          <w:bCs/>
          <w:color w:val="000000" w:themeColor="text1"/>
          <w:sz w:val="19"/>
          <w:szCs w:val="19"/>
        </w:rPr>
        <w:t xml:space="preserve">Minimum Investment: </w:t>
      </w:r>
      <w:r w:rsidRPr="1E18E02E">
        <w:rPr>
          <w:rFonts w:ascii="Helvetica" w:eastAsia="Helvetica" w:hAnsi="Helvetica" w:cs="Helvetica"/>
          <w:color w:val="000000" w:themeColor="text1"/>
          <w:sz w:val="19"/>
          <w:szCs w:val="19"/>
        </w:rPr>
        <w:t>100,000 GBP</w:t>
      </w:r>
    </w:p>
    <w:p w14:paraId="4810E9FB" w14:textId="45542548" w:rsidR="7AE6433C" w:rsidRDefault="7AE6433C" w:rsidP="1E18E02E">
      <w:pPr>
        <w:pStyle w:val="Prrafodelista"/>
        <w:numPr>
          <w:ilvl w:val="0"/>
          <w:numId w:val="1"/>
        </w:numPr>
        <w:shd w:val="clear" w:color="auto" w:fill="FFFFFF" w:themeFill="background1"/>
        <w:spacing w:after="0"/>
        <w:contextualSpacing w:val="0"/>
        <w:rPr>
          <w:rFonts w:cs="Aptos"/>
          <w:color w:val="000000" w:themeColor="text1"/>
          <w:sz w:val="21"/>
          <w:szCs w:val="21"/>
        </w:rPr>
      </w:pPr>
      <w:r w:rsidRPr="1E18E02E">
        <w:rPr>
          <w:rFonts w:cs="Aptos"/>
          <w:b/>
          <w:bCs/>
          <w:color w:val="000000" w:themeColor="text1"/>
          <w:sz w:val="21"/>
          <w:szCs w:val="21"/>
        </w:rPr>
        <w:t xml:space="preserve">Profit Share Offer: </w:t>
      </w:r>
      <w:r w:rsidRPr="1E18E02E">
        <w:rPr>
          <w:rFonts w:cs="Aptos"/>
          <w:color w:val="000000" w:themeColor="text1"/>
          <w:sz w:val="21"/>
          <w:szCs w:val="21"/>
        </w:rPr>
        <w:t>Annual: Minimum 20%</w:t>
      </w:r>
    </w:p>
    <w:p w14:paraId="32744793" w14:textId="04AEECD5" w:rsidR="7AE6433C" w:rsidRDefault="7AE6433C" w:rsidP="1E18E02E">
      <w:pPr>
        <w:pStyle w:val="Prrafodelista"/>
        <w:numPr>
          <w:ilvl w:val="0"/>
          <w:numId w:val="1"/>
        </w:numPr>
        <w:shd w:val="clear" w:color="auto" w:fill="FFFFFF" w:themeFill="background1"/>
        <w:spacing w:after="0"/>
        <w:contextualSpacing w:val="0"/>
      </w:pPr>
      <w:r w:rsidRPr="1E18E02E">
        <w:rPr>
          <w:rFonts w:ascii="Helvetica" w:eastAsia="Helvetica" w:hAnsi="Helvetica" w:cs="Helvetica"/>
          <w:b/>
          <w:bCs/>
          <w:color w:val="000000" w:themeColor="text1"/>
          <w:sz w:val="19"/>
          <w:szCs w:val="19"/>
        </w:rPr>
        <w:t xml:space="preserve">Term: </w:t>
      </w:r>
      <w:r w:rsidRPr="1E18E02E">
        <w:rPr>
          <w:rFonts w:ascii="Helvetica" w:eastAsia="Helvetica" w:hAnsi="Helvetica" w:cs="Helvetica"/>
          <w:color w:val="000000" w:themeColor="text1"/>
          <w:sz w:val="19"/>
          <w:szCs w:val="19"/>
        </w:rPr>
        <w:t>24 months</w:t>
      </w:r>
    </w:p>
    <w:p w14:paraId="027F39A8" w14:textId="77777777" w:rsidR="00723F65" w:rsidRDefault="00723F65" w:rsidP="00723F65">
      <w:pPr>
        <w:pStyle w:val="Prrafodelista"/>
        <w:numPr>
          <w:ilvl w:val="0"/>
          <w:numId w:val="1"/>
        </w:numPr>
        <w:shd w:val="clear" w:color="auto" w:fill="FFFFFF"/>
        <w:spacing w:after="0"/>
        <w:contextualSpacing w:val="0"/>
      </w:pPr>
      <w:r>
        <w:rPr>
          <w:rFonts w:cs="Aptos"/>
          <w:b/>
          <w:bCs/>
          <w:color w:val="000000"/>
          <w:sz w:val="21"/>
          <w:szCs w:val="21"/>
        </w:rPr>
        <w:t>Available Currencies</w:t>
      </w:r>
      <w:r>
        <w:rPr>
          <w:rFonts w:cs="Aptos"/>
          <w:color w:val="000000"/>
          <w:sz w:val="21"/>
          <w:szCs w:val="21"/>
        </w:rPr>
        <w:t>: USD, GBP</w:t>
      </w:r>
    </w:p>
    <w:p w14:paraId="65D39B59" w14:textId="77777777" w:rsidR="00723F65" w:rsidRDefault="00723F65" w:rsidP="00723F65">
      <w:pPr>
        <w:pStyle w:val="Prrafodelista"/>
        <w:numPr>
          <w:ilvl w:val="0"/>
          <w:numId w:val="1"/>
        </w:numPr>
        <w:shd w:val="clear" w:color="auto" w:fill="FFFFFF"/>
        <w:spacing w:after="0"/>
        <w:contextualSpacing w:val="0"/>
      </w:pPr>
      <w:r>
        <w:rPr>
          <w:rFonts w:cs="Aptos"/>
          <w:b/>
          <w:bCs/>
          <w:color w:val="000000"/>
          <w:sz w:val="21"/>
          <w:szCs w:val="21"/>
        </w:rPr>
        <w:t>Security</w:t>
      </w:r>
      <w:r>
        <w:rPr>
          <w:rFonts w:cs="Aptos"/>
          <w:color w:val="000000"/>
          <w:sz w:val="21"/>
          <w:szCs w:val="21"/>
        </w:rPr>
        <w:t>: asset-backed with a security trustee</w:t>
      </w:r>
    </w:p>
    <w:p w14:paraId="01FBA3D1" w14:textId="77777777" w:rsidR="00723F65" w:rsidRDefault="00723F65" w:rsidP="00723F65">
      <w:pPr>
        <w:pStyle w:val="Prrafodelista"/>
        <w:numPr>
          <w:ilvl w:val="0"/>
          <w:numId w:val="1"/>
        </w:numPr>
        <w:shd w:val="clear" w:color="auto" w:fill="FFFFFF"/>
        <w:spacing w:after="0"/>
        <w:contextualSpacing w:val="0"/>
      </w:pPr>
      <w:r>
        <w:rPr>
          <w:rFonts w:cs="Aptos"/>
          <w:b/>
          <w:bCs/>
          <w:color w:val="000000"/>
          <w:sz w:val="21"/>
          <w:szCs w:val="21"/>
        </w:rPr>
        <w:t>Sector</w:t>
      </w:r>
      <w:r>
        <w:rPr>
          <w:rFonts w:cs="Aptos"/>
          <w:color w:val="000000"/>
          <w:sz w:val="21"/>
          <w:szCs w:val="21"/>
        </w:rPr>
        <w:t>: litigation financing in the United Kingdom</w:t>
      </w:r>
    </w:p>
    <w:p w14:paraId="2DC8446C" w14:textId="77777777" w:rsidR="00723F65" w:rsidRDefault="00723F65" w:rsidP="00723F65">
      <w:pPr>
        <w:pStyle w:val="Prrafodelista"/>
        <w:numPr>
          <w:ilvl w:val="0"/>
          <w:numId w:val="1"/>
        </w:numPr>
        <w:shd w:val="clear" w:color="auto" w:fill="FFFFFF"/>
        <w:spacing w:after="0"/>
        <w:contextualSpacing w:val="0"/>
      </w:pPr>
      <w:r>
        <w:rPr>
          <w:rFonts w:cs="Aptos"/>
          <w:b/>
          <w:bCs/>
          <w:color w:val="000000"/>
          <w:sz w:val="21"/>
          <w:szCs w:val="21"/>
        </w:rPr>
        <w:t>Company incorporation date:</w:t>
      </w:r>
      <w:r>
        <w:rPr>
          <w:rFonts w:cs="Aptos"/>
          <w:color w:val="000000"/>
          <w:sz w:val="21"/>
          <w:szCs w:val="21"/>
        </w:rPr>
        <w:t xml:space="preserve"> 2022</w:t>
      </w:r>
    </w:p>
    <w:p w14:paraId="76F59F40" w14:textId="77777777" w:rsidR="00723F65" w:rsidRDefault="00723F65" w:rsidP="00723F65">
      <w:pPr>
        <w:pStyle w:val="Prrafodelista"/>
        <w:numPr>
          <w:ilvl w:val="0"/>
          <w:numId w:val="1"/>
        </w:numPr>
        <w:shd w:val="clear" w:color="auto" w:fill="FFFFFF"/>
        <w:spacing w:after="0"/>
        <w:contextualSpacing w:val="0"/>
      </w:pPr>
      <w:r>
        <w:rPr>
          <w:rFonts w:cs="Aptos"/>
          <w:b/>
          <w:bCs/>
          <w:color w:val="000000"/>
          <w:sz w:val="21"/>
          <w:szCs w:val="21"/>
        </w:rPr>
        <w:t>Listing soon on:</w:t>
      </w:r>
      <w:r>
        <w:rPr>
          <w:rFonts w:cs="Aptos"/>
          <w:color w:val="000000"/>
          <w:sz w:val="21"/>
          <w:szCs w:val="21"/>
        </w:rPr>
        <w:t xml:space="preserve"> Vienna MTF, XWBO, Wiener Börse AG</w:t>
      </w:r>
    </w:p>
    <w:p w14:paraId="47EB5E0C" w14:textId="77777777" w:rsidR="00723F65" w:rsidRDefault="00723F65" w:rsidP="00723F65">
      <w:pPr>
        <w:pStyle w:val="Prrafodelista"/>
        <w:numPr>
          <w:ilvl w:val="0"/>
          <w:numId w:val="1"/>
        </w:numPr>
        <w:shd w:val="clear" w:color="auto" w:fill="FFFFFF"/>
        <w:spacing w:after="0"/>
        <w:contextualSpacing w:val="0"/>
      </w:pPr>
      <w:r>
        <w:rPr>
          <w:rFonts w:cs="Aptos"/>
          <w:b/>
          <w:bCs/>
          <w:color w:val="000000"/>
          <w:sz w:val="21"/>
          <w:szCs w:val="21"/>
        </w:rPr>
        <w:t>Listing agent:</w:t>
      </w:r>
      <w:r>
        <w:rPr>
          <w:rFonts w:cs="Aptos"/>
          <w:color w:val="000000"/>
          <w:sz w:val="21"/>
          <w:szCs w:val="21"/>
        </w:rPr>
        <w:t xml:space="preserve"> Onyx Corporate Finance</w:t>
      </w:r>
    </w:p>
    <w:p w14:paraId="2B83DFAE" w14:textId="77777777" w:rsidR="00723F65" w:rsidRDefault="00723F65" w:rsidP="00723F65">
      <w:pPr>
        <w:pStyle w:val="Prrafodelista"/>
        <w:numPr>
          <w:ilvl w:val="0"/>
          <w:numId w:val="1"/>
        </w:numPr>
        <w:shd w:val="clear" w:color="auto" w:fill="FFFFFF"/>
        <w:spacing w:after="0"/>
        <w:contextualSpacing w:val="0"/>
      </w:pPr>
      <w:r>
        <w:rPr>
          <w:rFonts w:cs="Aptos"/>
          <w:b/>
          <w:bCs/>
          <w:color w:val="000000"/>
          <w:sz w:val="21"/>
          <w:szCs w:val="21"/>
        </w:rPr>
        <w:t>Auditors</w:t>
      </w:r>
      <w:r>
        <w:rPr>
          <w:rFonts w:cs="Aptos"/>
          <w:color w:val="000000"/>
          <w:sz w:val="21"/>
          <w:szCs w:val="21"/>
        </w:rPr>
        <w:t>: Anstey Bond</w:t>
      </w:r>
    </w:p>
    <w:p w14:paraId="7D28F092" w14:textId="77777777" w:rsidR="00723F65" w:rsidRDefault="00723F65" w:rsidP="00723F65">
      <w:pPr>
        <w:pStyle w:val="Prrafodelista"/>
        <w:numPr>
          <w:ilvl w:val="0"/>
          <w:numId w:val="1"/>
        </w:numPr>
        <w:shd w:val="clear" w:color="auto" w:fill="FFFFFF"/>
        <w:spacing w:after="0"/>
        <w:contextualSpacing w:val="0"/>
      </w:pPr>
      <w:r>
        <w:rPr>
          <w:rFonts w:cs="Aptos"/>
          <w:b/>
          <w:bCs/>
          <w:color w:val="000000"/>
          <w:sz w:val="21"/>
          <w:szCs w:val="21"/>
        </w:rPr>
        <w:t>Security trustee:</w:t>
      </w:r>
      <w:r>
        <w:rPr>
          <w:rFonts w:cs="Aptos"/>
          <w:color w:val="000000"/>
          <w:sz w:val="21"/>
          <w:szCs w:val="21"/>
        </w:rPr>
        <w:t xml:space="preserve"> Verdant Trustees Limited</w:t>
      </w:r>
    </w:p>
    <w:p w14:paraId="26A2137E" w14:textId="17AFB9DF" w:rsidR="00723F65" w:rsidRPr="00913A6C" w:rsidRDefault="00723F65" w:rsidP="00723F65">
      <w:pPr>
        <w:pStyle w:val="Prrafodelista"/>
        <w:numPr>
          <w:ilvl w:val="0"/>
          <w:numId w:val="1"/>
        </w:numPr>
        <w:shd w:val="clear" w:color="auto" w:fill="FFFFFF"/>
        <w:spacing w:after="0"/>
        <w:contextualSpacing w:val="0"/>
        <w:rPr>
          <w:lang w:val="es-MX"/>
        </w:rPr>
      </w:pPr>
      <w:r w:rsidRPr="00913A6C">
        <w:rPr>
          <w:rFonts w:cs="Aptos"/>
          <w:b/>
          <w:bCs/>
          <w:color w:val="000000"/>
          <w:sz w:val="21"/>
          <w:szCs w:val="21"/>
          <w:lang w:val="es-MX"/>
        </w:rPr>
        <w:t>Registrar</w:t>
      </w:r>
      <w:r w:rsidRPr="00913A6C">
        <w:rPr>
          <w:rFonts w:cs="Aptos"/>
          <w:color w:val="000000"/>
          <w:sz w:val="21"/>
          <w:szCs w:val="21"/>
          <w:lang w:val="es-MX"/>
        </w:rPr>
        <w:t xml:space="preserve">: Avenir </w:t>
      </w:r>
      <w:proofErr w:type="spellStart"/>
      <w:r w:rsidRPr="00913A6C">
        <w:rPr>
          <w:rFonts w:cs="Aptos"/>
          <w:color w:val="000000"/>
          <w:sz w:val="21"/>
          <w:szCs w:val="21"/>
          <w:lang w:val="es-MX"/>
        </w:rPr>
        <w:t>Registrars</w:t>
      </w:r>
      <w:proofErr w:type="spellEnd"/>
      <w:r w:rsidRPr="00913A6C">
        <w:rPr>
          <w:rFonts w:cs="Aptos"/>
          <w:color w:val="000000"/>
          <w:sz w:val="21"/>
          <w:szCs w:val="21"/>
          <w:lang w:val="es-MX"/>
        </w:rPr>
        <w:t xml:space="preserve"> </w:t>
      </w:r>
      <w:proofErr w:type="spellStart"/>
      <w:r w:rsidRPr="00913A6C">
        <w:rPr>
          <w:rFonts w:cs="Aptos"/>
          <w:color w:val="000000"/>
          <w:sz w:val="21"/>
          <w:szCs w:val="21"/>
          <w:lang w:val="es-MX"/>
        </w:rPr>
        <w:t>Limited</w:t>
      </w:r>
      <w:proofErr w:type="spellEnd"/>
      <w:r w:rsidR="00913A6C" w:rsidRPr="00913A6C">
        <w:rPr>
          <w:rFonts w:cs="Aptos"/>
          <w:color w:val="000000"/>
          <w:sz w:val="21"/>
          <w:szCs w:val="21"/>
          <w:lang w:val="es-MX"/>
        </w:rPr>
        <w:t xml:space="preserve"> (FCA </w:t>
      </w:r>
      <w:proofErr w:type="spellStart"/>
      <w:r w:rsidR="00913A6C" w:rsidRPr="00913A6C">
        <w:rPr>
          <w:rFonts w:cs="Aptos"/>
          <w:color w:val="000000"/>
          <w:sz w:val="21"/>
          <w:szCs w:val="21"/>
          <w:lang w:val="es-MX"/>
        </w:rPr>
        <w:t>R</w:t>
      </w:r>
      <w:r w:rsidR="00913A6C">
        <w:rPr>
          <w:rFonts w:cs="Aptos"/>
          <w:color w:val="000000"/>
          <w:sz w:val="21"/>
          <w:szCs w:val="21"/>
          <w:lang w:val="es-MX"/>
        </w:rPr>
        <w:t>e</w:t>
      </w:r>
      <w:r w:rsidR="00BD45DB">
        <w:rPr>
          <w:rFonts w:cs="Aptos"/>
          <w:color w:val="000000"/>
          <w:sz w:val="21"/>
          <w:szCs w:val="21"/>
          <w:lang w:val="es-MX"/>
        </w:rPr>
        <w:t>gulated</w:t>
      </w:r>
      <w:proofErr w:type="spellEnd"/>
      <w:r w:rsidR="00BD45DB">
        <w:rPr>
          <w:rFonts w:cs="Aptos"/>
          <w:color w:val="000000"/>
          <w:sz w:val="21"/>
          <w:szCs w:val="21"/>
          <w:lang w:val="es-MX"/>
        </w:rPr>
        <w:t>)</w:t>
      </w:r>
    </w:p>
    <w:p w14:paraId="32D28564" w14:textId="2006FAEA" w:rsidR="00723F65" w:rsidRPr="00913A6C" w:rsidRDefault="00723F65" w:rsidP="00723F65">
      <w:pPr>
        <w:pStyle w:val="Prrafodelista"/>
        <w:numPr>
          <w:ilvl w:val="0"/>
          <w:numId w:val="1"/>
        </w:numPr>
        <w:shd w:val="clear" w:color="auto" w:fill="FFFFFF"/>
        <w:spacing w:after="0"/>
        <w:contextualSpacing w:val="0"/>
      </w:pPr>
      <w:r>
        <w:rPr>
          <w:rFonts w:cs="Aptos"/>
          <w:b/>
          <w:bCs/>
          <w:color w:val="000000"/>
          <w:sz w:val="21"/>
          <w:szCs w:val="21"/>
        </w:rPr>
        <w:t>Receiving Agent</w:t>
      </w:r>
      <w:r>
        <w:rPr>
          <w:rFonts w:cs="Aptos"/>
          <w:color w:val="000000"/>
          <w:sz w:val="21"/>
          <w:szCs w:val="21"/>
        </w:rPr>
        <w:t xml:space="preserve">: </w:t>
      </w:r>
      <w:r w:rsidR="00913A6C">
        <w:rPr>
          <w:rFonts w:cs="Aptos"/>
          <w:color w:val="000000"/>
          <w:sz w:val="21"/>
          <w:szCs w:val="21"/>
        </w:rPr>
        <w:t>Avenir Registrars Limited</w:t>
      </w:r>
      <w:r w:rsidR="00D721EF">
        <w:rPr>
          <w:rFonts w:cs="Aptos"/>
          <w:color w:val="000000"/>
          <w:sz w:val="21"/>
          <w:szCs w:val="21"/>
        </w:rPr>
        <w:t xml:space="preserve"> &amp; 360 Fiduciary AG</w:t>
      </w:r>
      <w:r w:rsidR="00BD45DB">
        <w:rPr>
          <w:rFonts w:cs="Aptos"/>
          <w:color w:val="000000"/>
          <w:sz w:val="21"/>
          <w:szCs w:val="21"/>
        </w:rPr>
        <w:t xml:space="preserve"> </w:t>
      </w:r>
      <w:r w:rsidR="00BD45DB" w:rsidRPr="00BD45DB">
        <w:rPr>
          <w:rFonts w:cs="Aptos"/>
          <w:color w:val="000000"/>
          <w:sz w:val="21"/>
          <w:szCs w:val="21"/>
        </w:rPr>
        <w:t>(FCA Regulated)</w:t>
      </w:r>
    </w:p>
    <w:p w14:paraId="041E61FC" w14:textId="74C51D8F" w:rsidR="00913A6C" w:rsidRDefault="00913A6C" w:rsidP="00723F65">
      <w:pPr>
        <w:pStyle w:val="Prrafodelista"/>
        <w:numPr>
          <w:ilvl w:val="0"/>
          <w:numId w:val="1"/>
        </w:numPr>
        <w:shd w:val="clear" w:color="auto" w:fill="FFFFFF"/>
        <w:spacing w:after="0"/>
        <w:contextualSpacing w:val="0"/>
      </w:pPr>
      <w:r w:rsidRPr="00BD45DB">
        <w:rPr>
          <w:b/>
          <w:bCs/>
          <w:sz w:val="21"/>
          <w:szCs w:val="21"/>
        </w:rPr>
        <w:t>Law Firm Due Diligence</w:t>
      </w:r>
      <w:r w:rsidRPr="00913A6C">
        <w:t xml:space="preserve">: </w:t>
      </w:r>
      <w:proofErr w:type="spellStart"/>
      <w:r w:rsidRPr="00BD45DB">
        <w:rPr>
          <w:sz w:val="21"/>
          <w:szCs w:val="21"/>
        </w:rPr>
        <w:t>Insyte</w:t>
      </w:r>
      <w:proofErr w:type="spellEnd"/>
      <w:r w:rsidR="00D721EF">
        <w:rPr>
          <w:sz w:val="21"/>
          <w:szCs w:val="21"/>
        </w:rPr>
        <w:t xml:space="preserve"> IG</w:t>
      </w:r>
    </w:p>
    <w:p w14:paraId="51542525" w14:textId="77777777" w:rsidR="00723F65" w:rsidRDefault="00723F65" w:rsidP="00723F65">
      <w:pPr>
        <w:pStyle w:val="Prrafodelista"/>
        <w:numPr>
          <w:ilvl w:val="0"/>
          <w:numId w:val="1"/>
        </w:numPr>
        <w:shd w:val="clear" w:color="auto" w:fill="FFFFFF"/>
        <w:spacing w:after="0"/>
        <w:contextualSpacing w:val="0"/>
      </w:pPr>
      <w:r>
        <w:rPr>
          <w:rFonts w:cs="Aptos"/>
          <w:b/>
          <w:bCs/>
          <w:color w:val="000000"/>
          <w:sz w:val="21"/>
          <w:szCs w:val="21"/>
        </w:rPr>
        <w:t>Available through selected platforms:</w:t>
      </w:r>
      <w:r>
        <w:rPr>
          <w:rFonts w:cs="Aptos"/>
          <w:color w:val="000000"/>
          <w:sz w:val="21"/>
          <w:szCs w:val="21"/>
        </w:rPr>
        <w:t xml:space="preserve"> No</w:t>
      </w:r>
    </w:p>
    <w:p w14:paraId="2421D1C9" w14:textId="0E5F36AB" w:rsidR="00723F65" w:rsidRDefault="00723F65" w:rsidP="00723F65">
      <w:pPr>
        <w:pStyle w:val="Prrafodelista"/>
        <w:numPr>
          <w:ilvl w:val="0"/>
          <w:numId w:val="1"/>
        </w:numPr>
        <w:shd w:val="clear" w:color="auto" w:fill="FFFFFF"/>
        <w:spacing w:after="0"/>
        <w:contextualSpacing w:val="0"/>
      </w:pPr>
      <w:r>
        <w:rPr>
          <w:rFonts w:cs="Aptos"/>
          <w:b/>
          <w:bCs/>
          <w:color w:val="000000"/>
          <w:sz w:val="21"/>
          <w:szCs w:val="21"/>
        </w:rPr>
        <w:t>Available through direct investment:</w:t>
      </w:r>
      <w:r>
        <w:rPr>
          <w:rFonts w:cs="Aptos"/>
          <w:color w:val="000000"/>
          <w:sz w:val="21"/>
          <w:szCs w:val="21"/>
        </w:rPr>
        <w:t xml:space="preserve"> Yes</w:t>
      </w:r>
      <w:r w:rsidR="00913A6C">
        <w:rPr>
          <w:rFonts w:cs="Aptos"/>
          <w:color w:val="000000"/>
          <w:sz w:val="21"/>
          <w:szCs w:val="21"/>
        </w:rPr>
        <w:t>, but check which platforms</w:t>
      </w:r>
    </w:p>
    <w:p w14:paraId="4079E197" w14:textId="77777777" w:rsidR="00723F65" w:rsidRDefault="00723F65" w:rsidP="00723F65">
      <w:pPr>
        <w:rPr>
          <w:b/>
          <w:bCs/>
        </w:rPr>
      </w:pPr>
    </w:p>
    <w:p w14:paraId="1ED021F8" w14:textId="77777777" w:rsidR="00723F65" w:rsidRDefault="00723F65" w:rsidP="00723F65">
      <w:pPr>
        <w:rPr>
          <w:b/>
          <w:bCs/>
        </w:rPr>
      </w:pPr>
      <w:r>
        <w:rPr>
          <w:b/>
          <w:bCs/>
        </w:rPr>
        <w:t>Due diligence documents for Investors:</w:t>
      </w:r>
    </w:p>
    <w:p w14:paraId="31B3DED7" w14:textId="17FDECB4" w:rsidR="00723F65" w:rsidRPr="000D3121" w:rsidRDefault="00594ED9" w:rsidP="00723F65">
      <w:pPr>
        <w:numPr>
          <w:ilvl w:val="0"/>
          <w:numId w:val="2"/>
        </w:numPr>
        <w:rPr>
          <w:sz w:val="21"/>
          <w:szCs w:val="21"/>
        </w:rPr>
      </w:pPr>
      <w:hyperlink r:id="rId5" w:history="1">
        <w:r w:rsidR="00723F65" w:rsidRPr="00594ED9">
          <w:rPr>
            <w:rStyle w:val="Hipervnculo"/>
            <w:sz w:val="21"/>
            <w:szCs w:val="21"/>
          </w:rPr>
          <w:t xml:space="preserve">Seven Stars SERIES 1 (USD) 17.5% </w:t>
        </w:r>
        <w:proofErr w:type="spellStart"/>
        <w:r w:rsidR="00723F65" w:rsidRPr="00594ED9">
          <w:rPr>
            <w:rStyle w:val="Hipervnculo"/>
            <w:sz w:val="21"/>
            <w:szCs w:val="21"/>
          </w:rPr>
          <w:t>vence</w:t>
        </w:r>
        <w:proofErr w:type="spellEnd"/>
        <w:r w:rsidR="00723F65" w:rsidRPr="00594ED9">
          <w:rPr>
            <w:rStyle w:val="Hipervnculo"/>
            <w:sz w:val="21"/>
            <w:szCs w:val="21"/>
          </w:rPr>
          <w:t xml:space="preserve"> Dec 2028 - </w:t>
        </w:r>
        <w:r w:rsidR="00723F65" w:rsidRPr="00594ED9">
          <w:rPr>
            <w:rStyle w:val="Hipervnculo"/>
            <w:b/>
            <w:bCs/>
            <w:sz w:val="21"/>
            <w:szCs w:val="21"/>
          </w:rPr>
          <w:t>Term sheet</w:t>
        </w:r>
      </w:hyperlink>
      <w:r w:rsidR="00723F65" w:rsidRPr="000D3121">
        <w:rPr>
          <w:sz w:val="21"/>
          <w:szCs w:val="21"/>
        </w:rPr>
        <w:t xml:space="preserve"> </w:t>
      </w:r>
    </w:p>
    <w:p w14:paraId="5C78BD57" w14:textId="7D1F1A1E" w:rsidR="00723F65" w:rsidRPr="00D8006C" w:rsidRDefault="00723F65" w:rsidP="00723F65">
      <w:pPr>
        <w:numPr>
          <w:ilvl w:val="0"/>
          <w:numId w:val="2"/>
        </w:numPr>
        <w:rPr>
          <w:sz w:val="21"/>
          <w:szCs w:val="21"/>
        </w:rPr>
      </w:pPr>
      <w:hyperlink r:id="rId6" w:history="1">
        <w:r w:rsidRPr="000D3121">
          <w:rPr>
            <w:rStyle w:val="Hipervnculo"/>
            <w:sz w:val="21"/>
            <w:szCs w:val="21"/>
          </w:rPr>
          <w:t xml:space="preserve">Seven Stars SERIES 1 (USD) 17.5% vence Dec 2028 - </w:t>
        </w:r>
        <w:r w:rsidRPr="000D3121">
          <w:rPr>
            <w:rStyle w:val="Hipervnculo"/>
            <w:b/>
            <w:bCs/>
            <w:sz w:val="21"/>
            <w:szCs w:val="21"/>
          </w:rPr>
          <w:t>Investment Memorandum</w:t>
        </w:r>
      </w:hyperlink>
    </w:p>
    <w:p w14:paraId="4C9D497A" w14:textId="4A8690D2" w:rsidR="00DD32AD" w:rsidRPr="00DD32AD" w:rsidRDefault="00182EF1" w:rsidP="00DD32AD">
      <w:pPr>
        <w:numPr>
          <w:ilvl w:val="0"/>
          <w:numId w:val="2"/>
        </w:numPr>
        <w:suppressAutoHyphens w:val="0"/>
        <w:autoSpaceDN/>
        <w:spacing w:line="278" w:lineRule="auto"/>
        <w:textAlignment w:val="auto"/>
        <w:rPr>
          <w:sz w:val="21"/>
          <w:szCs w:val="21"/>
        </w:rPr>
      </w:pPr>
      <w:hyperlink r:id="rId7" w:history="1">
        <w:r w:rsidR="00DD32AD" w:rsidRPr="00182EF1">
          <w:rPr>
            <w:rStyle w:val="Hipervnculo"/>
            <w:sz w:val="21"/>
            <w:szCs w:val="21"/>
          </w:rPr>
          <w:t xml:space="preserve">Seven Stars SERIES 4 (USD) 14%pa (18 months) with a 9% extra bonus at the end of the term - </w:t>
        </w:r>
        <w:r w:rsidR="00DD32AD" w:rsidRPr="00182EF1">
          <w:rPr>
            <w:rStyle w:val="Hipervnculo"/>
            <w:b/>
            <w:bCs/>
            <w:sz w:val="21"/>
            <w:szCs w:val="21"/>
          </w:rPr>
          <w:t>Term sheet</w:t>
        </w:r>
      </w:hyperlink>
    </w:p>
    <w:p w14:paraId="219E72E2" w14:textId="4B32691A" w:rsidR="00D8006C" w:rsidRDefault="00DF7164" w:rsidP="00377E32">
      <w:pPr>
        <w:numPr>
          <w:ilvl w:val="0"/>
          <w:numId w:val="2"/>
        </w:numPr>
        <w:suppressAutoHyphens w:val="0"/>
        <w:autoSpaceDN/>
        <w:spacing w:line="278" w:lineRule="auto"/>
        <w:textAlignment w:val="auto"/>
        <w:rPr>
          <w:sz w:val="21"/>
          <w:szCs w:val="21"/>
        </w:rPr>
      </w:pPr>
      <w:hyperlink r:id="rId8" w:history="1">
        <w:r w:rsidR="00DD32AD" w:rsidRPr="00DF7164">
          <w:rPr>
            <w:rStyle w:val="Hipervnculo"/>
            <w:sz w:val="21"/>
            <w:szCs w:val="21"/>
          </w:rPr>
          <w:t xml:space="preserve">Seven Stars SERIES 4 (USD) 14%pa with a 9% extra bonus at the end of the term - </w:t>
        </w:r>
        <w:r w:rsidR="00DD32AD" w:rsidRPr="00DF7164">
          <w:rPr>
            <w:rStyle w:val="Hipervnculo"/>
            <w:b/>
            <w:bCs/>
            <w:sz w:val="21"/>
            <w:szCs w:val="21"/>
          </w:rPr>
          <w:t>Investment Memorandum</w:t>
        </w:r>
      </w:hyperlink>
      <w:r w:rsidR="003A7146">
        <w:rPr>
          <w:sz w:val="21"/>
          <w:szCs w:val="21"/>
        </w:rPr>
        <w:t xml:space="preserve"> </w:t>
      </w:r>
    </w:p>
    <w:p w14:paraId="0BFFEED0" w14:textId="77777777" w:rsidR="007E3757" w:rsidRPr="000D3121" w:rsidRDefault="007E3757" w:rsidP="007E3757">
      <w:pPr>
        <w:numPr>
          <w:ilvl w:val="0"/>
          <w:numId w:val="2"/>
        </w:numPr>
        <w:rPr>
          <w:sz w:val="21"/>
          <w:szCs w:val="21"/>
        </w:rPr>
      </w:pPr>
      <w:hyperlink r:id="rId9" w:history="1">
        <w:r w:rsidRPr="000E031A">
          <w:rPr>
            <w:rStyle w:val="Hipervnculo"/>
            <w:sz w:val="21"/>
            <w:szCs w:val="21"/>
          </w:rPr>
          <w:t xml:space="preserve">Seven Stars Corporate Governance Brochure </w:t>
        </w:r>
      </w:hyperlink>
      <w:r w:rsidRPr="007E3757">
        <w:rPr>
          <w:i/>
          <w:iCs/>
          <w:sz w:val="21"/>
          <w:szCs w:val="21"/>
        </w:rPr>
        <w:t>– Introduces the company and the Directors</w:t>
      </w:r>
    </w:p>
    <w:p w14:paraId="681D96F5" w14:textId="6518BE5A" w:rsidR="003A7146" w:rsidRPr="00377E32" w:rsidRDefault="000E031A" w:rsidP="00377E32">
      <w:pPr>
        <w:numPr>
          <w:ilvl w:val="0"/>
          <w:numId w:val="2"/>
        </w:numPr>
        <w:suppressAutoHyphens w:val="0"/>
        <w:autoSpaceDN/>
        <w:spacing w:line="278" w:lineRule="auto"/>
        <w:textAlignment w:val="auto"/>
        <w:rPr>
          <w:sz w:val="21"/>
          <w:szCs w:val="21"/>
        </w:rPr>
      </w:pPr>
      <w:hyperlink r:id="rId10" w:history="1">
        <w:r w:rsidRPr="007E3757">
          <w:rPr>
            <w:rStyle w:val="Hipervnculo"/>
            <w:sz w:val="21"/>
            <w:szCs w:val="21"/>
          </w:rPr>
          <w:t>A</w:t>
        </w:r>
        <w:r w:rsidR="003A7146" w:rsidRPr="007E3757">
          <w:rPr>
            <w:rStyle w:val="Hipervnculo"/>
            <w:sz w:val="21"/>
            <w:szCs w:val="21"/>
          </w:rPr>
          <w:t>bout</w:t>
        </w:r>
        <w:r w:rsidRPr="007E3757">
          <w:rPr>
            <w:rStyle w:val="Hipervnculo"/>
            <w:sz w:val="21"/>
            <w:szCs w:val="21"/>
          </w:rPr>
          <w:t xml:space="preserve"> litigation funding and the cases Seven Stars finance bonds</w:t>
        </w:r>
      </w:hyperlink>
    </w:p>
    <w:p w14:paraId="562A71ED" w14:textId="77777777" w:rsidR="00723F65" w:rsidRPr="000D3121" w:rsidRDefault="00723F65" w:rsidP="00723F65">
      <w:pPr>
        <w:numPr>
          <w:ilvl w:val="0"/>
          <w:numId w:val="2"/>
        </w:numPr>
        <w:rPr>
          <w:sz w:val="21"/>
          <w:szCs w:val="21"/>
        </w:rPr>
      </w:pPr>
      <w:hyperlink r:id="rId11" w:history="1">
        <w:r w:rsidRPr="000D3121">
          <w:rPr>
            <w:rStyle w:val="Hipervnculo"/>
            <w:sz w:val="21"/>
            <w:szCs w:val="21"/>
            <w:lang w:val="es-MX"/>
          </w:rPr>
          <w:t xml:space="preserve">Seven Stars Bond </w:t>
        </w:r>
        <w:proofErr w:type="spellStart"/>
        <w:r w:rsidRPr="000D3121">
          <w:rPr>
            <w:rStyle w:val="Hipervnculo"/>
            <w:sz w:val="21"/>
            <w:szCs w:val="21"/>
            <w:lang w:val="es-MX"/>
          </w:rPr>
          <w:t>structure</w:t>
        </w:r>
        <w:proofErr w:type="spellEnd"/>
      </w:hyperlink>
    </w:p>
    <w:p w14:paraId="35616BD6" w14:textId="77777777" w:rsidR="00723F65" w:rsidRPr="000D3121" w:rsidRDefault="00723F65" w:rsidP="00723F65">
      <w:pPr>
        <w:numPr>
          <w:ilvl w:val="0"/>
          <w:numId w:val="2"/>
        </w:numPr>
        <w:rPr>
          <w:sz w:val="21"/>
          <w:szCs w:val="21"/>
        </w:rPr>
      </w:pPr>
      <w:hyperlink r:id="rId12" w:history="1">
        <w:r w:rsidRPr="000D3121">
          <w:rPr>
            <w:rStyle w:val="Hipervnculo"/>
            <w:sz w:val="21"/>
            <w:szCs w:val="21"/>
            <w:lang w:val="es-MX"/>
          </w:rPr>
          <w:t>Seven Stars FAQ</w:t>
        </w:r>
      </w:hyperlink>
    </w:p>
    <w:p w14:paraId="6349BD00" w14:textId="7F1807F5" w:rsidR="00E30390" w:rsidRPr="000D3121" w:rsidRDefault="000805A5" w:rsidP="000805A5">
      <w:pPr>
        <w:numPr>
          <w:ilvl w:val="0"/>
          <w:numId w:val="2"/>
        </w:numPr>
        <w:rPr>
          <w:sz w:val="21"/>
          <w:szCs w:val="21"/>
        </w:rPr>
      </w:pPr>
      <w:hyperlink r:id="rId13" w:history="1">
        <w:r w:rsidRPr="00A3649B">
          <w:rPr>
            <w:rStyle w:val="Hipervnculo"/>
            <w:b/>
            <w:bCs/>
            <w:sz w:val="21"/>
            <w:szCs w:val="21"/>
          </w:rPr>
          <w:t>Security Trust Deed of the bond with Verdant</w:t>
        </w:r>
      </w:hyperlink>
      <w:r w:rsidRPr="000D3121">
        <w:rPr>
          <w:sz w:val="21"/>
          <w:szCs w:val="21"/>
        </w:rPr>
        <w:t xml:space="preserve"> - </w:t>
      </w:r>
      <w:r w:rsidR="000C4FF3" w:rsidRPr="000D3121">
        <w:rPr>
          <w:i/>
          <w:iCs/>
          <w:sz w:val="21"/>
          <w:szCs w:val="21"/>
        </w:rPr>
        <w:t xml:space="preserve">This document details the interactions between Seven Stars and Verdant as the </w:t>
      </w:r>
      <w:r w:rsidR="00D25C71" w:rsidRPr="000D3121">
        <w:rPr>
          <w:i/>
          <w:iCs/>
          <w:sz w:val="21"/>
          <w:szCs w:val="21"/>
        </w:rPr>
        <w:t xml:space="preserve">Security </w:t>
      </w:r>
      <w:r w:rsidR="000C4FF3" w:rsidRPr="000D3121">
        <w:rPr>
          <w:i/>
          <w:iCs/>
          <w:sz w:val="21"/>
          <w:szCs w:val="21"/>
        </w:rPr>
        <w:t>Trustees and the role of Verdant</w:t>
      </w:r>
      <w:r w:rsidR="000C4FF3" w:rsidRPr="000D3121">
        <w:rPr>
          <w:sz w:val="21"/>
          <w:szCs w:val="21"/>
        </w:rPr>
        <w:t>.</w:t>
      </w:r>
      <w:r w:rsidR="006D77F4" w:rsidRPr="000D3121">
        <w:rPr>
          <w:sz w:val="21"/>
          <w:szCs w:val="21"/>
        </w:rPr>
        <w:t xml:space="preserve"> </w:t>
      </w:r>
      <w:hyperlink r:id="rId14" w:history="1">
        <w:r w:rsidR="00323369" w:rsidRPr="000D3121">
          <w:rPr>
            <w:rStyle w:val="Hipervnculo"/>
            <w:sz w:val="21"/>
            <w:szCs w:val="21"/>
          </w:rPr>
          <w:t xml:space="preserve">About </w:t>
        </w:r>
        <w:r w:rsidR="006D77F4" w:rsidRPr="000D3121">
          <w:rPr>
            <w:rStyle w:val="Hipervnculo"/>
            <w:sz w:val="21"/>
            <w:szCs w:val="21"/>
          </w:rPr>
          <w:t>Verdant</w:t>
        </w:r>
      </w:hyperlink>
      <w:r w:rsidR="004E2A92" w:rsidRPr="000D3121">
        <w:rPr>
          <w:sz w:val="21"/>
          <w:szCs w:val="21"/>
        </w:rPr>
        <w:t xml:space="preserve"> </w:t>
      </w:r>
    </w:p>
    <w:p w14:paraId="31381301" w14:textId="446A4748" w:rsidR="004E2A92" w:rsidRPr="000D3121" w:rsidRDefault="00016809" w:rsidP="00016809">
      <w:pPr>
        <w:pStyle w:val="Prrafodelista"/>
        <w:numPr>
          <w:ilvl w:val="0"/>
          <w:numId w:val="2"/>
        </w:numPr>
        <w:shd w:val="clear" w:color="auto" w:fill="FFFFFF"/>
        <w:spacing w:after="0"/>
        <w:contextualSpacing w:val="0"/>
        <w:rPr>
          <w:i/>
          <w:iCs/>
          <w:sz w:val="21"/>
          <w:szCs w:val="21"/>
        </w:rPr>
      </w:pPr>
      <w:r w:rsidRPr="000D3121">
        <w:rPr>
          <w:b/>
          <w:bCs/>
          <w:sz w:val="21"/>
          <w:szCs w:val="21"/>
        </w:rPr>
        <w:t>Law Firm Due Diligence</w:t>
      </w:r>
      <w:r w:rsidRPr="000D3121">
        <w:rPr>
          <w:sz w:val="21"/>
          <w:szCs w:val="21"/>
        </w:rPr>
        <w:t xml:space="preserve">: </w:t>
      </w:r>
      <w:proofErr w:type="spellStart"/>
      <w:r w:rsidRPr="000D3121">
        <w:rPr>
          <w:sz w:val="21"/>
          <w:szCs w:val="21"/>
        </w:rPr>
        <w:t>Insyte</w:t>
      </w:r>
      <w:proofErr w:type="spellEnd"/>
      <w:r w:rsidRPr="000D3121">
        <w:rPr>
          <w:sz w:val="21"/>
          <w:szCs w:val="21"/>
        </w:rPr>
        <w:t xml:space="preserve"> </w:t>
      </w:r>
      <w:r w:rsidR="003D3B5C">
        <w:rPr>
          <w:sz w:val="21"/>
          <w:szCs w:val="21"/>
        </w:rPr>
        <w:t>IQ</w:t>
      </w:r>
      <w:r w:rsidRPr="000D3121">
        <w:rPr>
          <w:i/>
          <w:iCs/>
          <w:sz w:val="21"/>
          <w:szCs w:val="21"/>
        </w:rPr>
        <w:t xml:space="preserve">- Seven Stars contracts </w:t>
      </w:r>
      <w:proofErr w:type="spellStart"/>
      <w:r w:rsidRPr="000D3121">
        <w:rPr>
          <w:i/>
          <w:iCs/>
          <w:sz w:val="21"/>
          <w:szCs w:val="21"/>
        </w:rPr>
        <w:t>Insyte</w:t>
      </w:r>
      <w:proofErr w:type="spellEnd"/>
      <w:r w:rsidR="003D3B5C">
        <w:rPr>
          <w:i/>
          <w:iCs/>
          <w:sz w:val="21"/>
          <w:szCs w:val="21"/>
        </w:rPr>
        <w:t xml:space="preserve"> IQ</w:t>
      </w:r>
      <w:r w:rsidRPr="000D3121">
        <w:rPr>
          <w:i/>
          <w:iCs/>
          <w:sz w:val="21"/>
          <w:szCs w:val="21"/>
        </w:rPr>
        <w:t xml:space="preserve"> to both carry out extensive DD on borrowing Law firms and then to monitor the borrowing law firms and the case files as the claims progress towards conclusion and repayment of the loans. Much of this monitoring happens in real time and provides data about their loan book portfolio which Seven Stars then report in the quarterly newsletters including balance of case types, law firms, security ratios etc. The quarterly newsletters inform investors how their funds are being deployed by Seven Stars and what levels of security are in place to cover the liabilities. This monitoring is backed up by physical on site visits to the law firms to further check and verify all of the relevant information pertaining to the cases we have funded.</w:t>
      </w:r>
      <w:r w:rsidRPr="000D3121">
        <w:rPr>
          <w:i/>
          <w:iCs/>
          <w:sz w:val="21"/>
          <w:szCs w:val="21"/>
        </w:rPr>
        <w:br/>
      </w:r>
    </w:p>
    <w:p w14:paraId="4FA1AA00" w14:textId="25D1D159" w:rsidR="00723F65" w:rsidRDefault="00AA3327" w:rsidP="00723F65">
      <w:pPr>
        <w:pStyle w:val="Prrafodelista"/>
        <w:numPr>
          <w:ilvl w:val="0"/>
          <w:numId w:val="2"/>
        </w:numPr>
        <w:contextualSpacing w:val="0"/>
        <w:rPr>
          <w:b/>
          <w:bCs/>
        </w:rPr>
      </w:pPr>
      <w:r>
        <w:rPr>
          <w:b/>
          <w:bCs/>
        </w:rPr>
        <w:t xml:space="preserve">Recent </w:t>
      </w:r>
      <w:r w:rsidR="00723F65">
        <w:rPr>
          <w:b/>
          <w:bCs/>
        </w:rPr>
        <w:t>Quarterly Newsletters for Investors</w:t>
      </w:r>
    </w:p>
    <w:p w14:paraId="3508AFBE" w14:textId="0F4518F8" w:rsidR="00723F65" w:rsidRDefault="00723F65" w:rsidP="00723F65">
      <w:pPr>
        <w:pStyle w:val="Prrafodelista"/>
      </w:pPr>
      <w:r w:rsidRPr="00A47A0A">
        <w:t xml:space="preserve">• </w:t>
      </w:r>
      <w:hyperlink r:id="rId15" w:history="1">
        <w:r w:rsidR="43C271A1" w:rsidRPr="00A47A0A">
          <w:rPr>
            <w:rStyle w:val="Hipervnculo"/>
          </w:rPr>
          <w:t xml:space="preserve">Fourth </w:t>
        </w:r>
        <w:r w:rsidR="6619699C" w:rsidRPr="00A47A0A">
          <w:rPr>
            <w:rStyle w:val="Hipervnculo"/>
          </w:rPr>
          <w:t>Quarter Newsletter - 2025</w:t>
        </w:r>
      </w:hyperlink>
    </w:p>
    <w:p w14:paraId="080394CD" w14:textId="3E60C45D" w:rsidR="00723F65" w:rsidRDefault="6619699C" w:rsidP="00723F65">
      <w:pPr>
        <w:pStyle w:val="Prrafodelista"/>
      </w:pPr>
      <w:r>
        <w:t xml:space="preserve">• </w:t>
      </w:r>
      <w:hyperlink r:id="rId16">
        <w:r w:rsidR="00723F65" w:rsidRPr="1E18E02E">
          <w:rPr>
            <w:rStyle w:val="Hipervnculo"/>
          </w:rPr>
          <w:t>Third Quarter Newsletter - 2025</w:t>
        </w:r>
      </w:hyperlink>
      <w:r w:rsidR="00723F65">
        <w:br/>
      </w:r>
    </w:p>
    <w:p w14:paraId="4389BF19" w14:textId="35F030D1" w:rsidR="002209DB" w:rsidRDefault="00EC4C59">
      <w:r>
        <w:t xml:space="preserve">We look forward to </w:t>
      </w:r>
      <w:r w:rsidR="00AA3327">
        <w:t xml:space="preserve">a </w:t>
      </w:r>
      <w:r>
        <w:t>follow</w:t>
      </w:r>
      <w:r w:rsidR="00AA3327">
        <w:t xml:space="preserve"> up </w:t>
      </w:r>
      <w:r>
        <w:t>meeting</w:t>
      </w:r>
      <w:r w:rsidR="00AA3327">
        <w:t xml:space="preserve"> to answer any questions or provide fu</w:t>
      </w:r>
      <w:r w:rsidR="000025F5">
        <w:t>r</w:t>
      </w:r>
      <w:r w:rsidR="00AA3327">
        <w:t>ther</w:t>
      </w:r>
      <w:r w:rsidR="000025F5">
        <w:t xml:space="preserve"> due diligence documentation.</w:t>
      </w:r>
    </w:p>
    <w:p w14:paraId="02B7E13F" w14:textId="77777777" w:rsidR="000025F5" w:rsidRDefault="000025F5"/>
    <w:p w14:paraId="7C45921D" w14:textId="4A55C6E5" w:rsidR="000025F5" w:rsidRDefault="000025F5">
      <w:r>
        <w:t>Best regards</w:t>
      </w:r>
    </w:p>
    <w:p w14:paraId="67218DAE" w14:textId="77777777" w:rsidR="000025F5" w:rsidRDefault="000025F5"/>
    <w:p w14:paraId="316CCB6A" w14:textId="5925C2B2" w:rsidR="000025F5" w:rsidRDefault="000025F5"/>
    <w:sectPr w:rsidR="000025F5" w:rsidSect="00723F6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44254"/>
    <w:multiLevelType w:val="multilevel"/>
    <w:tmpl w:val="956AA3D6"/>
    <w:lvl w:ilvl="0">
      <w:start w:val="1"/>
      <w:numFmt w:val="decimal"/>
      <w:lvlText w:val="%1."/>
      <w:lvlJc w:val="left"/>
      <w:pPr>
        <w:ind w:left="720" w:hanging="360"/>
      </w:pPr>
    </w:lvl>
    <w:lvl w:ilvl="1">
      <w:numFmt w:val="bullet"/>
      <w:lvlText w:val=""/>
      <w:lvlJc w:val="left"/>
      <w:pPr>
        <w:ind w:left="1440" w:hanging="360"/>
      </w:pPr>
      <w:rPr>
        <w:rFonts w:ascii="Symbol" w:hAnsi="Symbol"/>
      </w:r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 w15:restartNumberingAfterBreak="0">
    <w:nsid w:val="0C932729"/>
    <w:multiLevelType w:val="multilevel"/>
    <w:tmpl w:val="F514907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8BB2EB1"/>
    <w:multiLevelType w:val="multilevel"/>
    <w:tmpl w:val="F36C10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2109153775">
    <w:abstractNumId w:val="2"/>
  </w:num>
  <w:num w:numId="2" w16cid:durableId="1925410946">
    <w:abstractNumId w:val="0"/>
  </w:num>
  <w:num w:numId="3" w16cid:durableId="1464425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F65"/>
    <w:rsid w:val="000025F5"/>
    <w:rsid w:val="00016809"/>
    <w:rsid w:val="000805A5"/>
    <w:rsid w:val="000C4FF3"/>
    <w:rsid w:val="000D3121"/>
    <w:rsid w:val="000E031A"/>
    <w:rsid w:val="0018120A"/>
    <w:rsid w:val="00182EF1"/>
    <w:rsid w:val="001D7F42"/>
    <w:rsid w:val="00210988"/>
    <w:rsid w:val="002209DB"/>
    <w:rsid w:val="002860F5"/>
    <w:rsid w:val="00323369"/>
    <w:rsid w:val="00377E32"/>
    <w:rsid w:val="003A7146"/>
    <w:rsid w:val="003D3B5C"/>
    <w:rsid w:val="0043380C"/>
    <w:rsid w:val="004E2A92"/>
    <w:rsid w:val="00511CAE"/>
    <w:rsid w:val="00576260"/>
    <w:rsid w:val="00594ED9"/>
    <w:rsid w:val="006003D3"/>
    <w:rsid w:val="006D77F4"/>
    <w:rsid w:val="00723F65"/>
    <w:rsid w:val="007E3757"/>
    <w:rsid w:val="007F7852"/>
    <w:rsid w:val="008C7E41"/>
    <w:rsid w:val="008E244F"/>
    <w:rsid w:val="009116F3"/>
    <w:rsid w:val="00913A6C"/>
    <w:rsid w:val="00972A2F"/>
    <w:rsid w:val="009E2334"/>
    <w:rsid w:val="00A3649B"/>
    <w:rsid w:val="00A47A0A"/>
    <w:rsid w:val="00A62884"/>
    <w:rsid w:val="00AA3327"/>
    <w:rsid w:val="00AB1583"/>
    <w:rsid w:val="00AD7AB7"/>
    <w:rsid w:val="00BB72DE"/>
    <w:rsid w:val="00BD45DB"/>
    <w:rsid w:val="00CB07E9"/>
    <w:rsid w:val="00CB48B4"/>
    <w:rsid w:val="00D25C71"/>
    <w:rsid w:val="00D721EF"/>
    <w:rsid w:val="00D8006C"/>
    <w:rsid w:val="00DD32AD"/>
    <w:rsid w:val="00DF7164"/>
    <w:rsid w:val="00E30390"/>
    <w:rsid w:val="00E76950"/>
    <w:rsid w:val="00EC4C59"/>
    <w:rsid w:val="00F728E6"/>
    <w:rsid w:val="00FA03A3"/>
    <w:rsid w:val="0D0464A1"/>
    <w:rsid w:val="17CA1769"/>
    <w:rsid w:val="1E18E02E"/>
    <w:rsid w:val="43C271A1"/>
    <w:rsid w:val="51BDDDF5"/>
    <w:rsid w:val="5D978114"/>
    <w:rsid w:val="63CDDBED"/>
    <w:rsid w:val="65AEE2E1"/>
    <w:rsid w:val="6619699C"/>
    <w:rsid w:val="7A92272B"/>
    <w:rsid w:val="7AE6433C"/>
    <w:rsid w:val="7F727D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D78A5"/>
  <w15:chartTrackingRefBased/>
  <w15:docId w15:val="{01689357-1CB0-451A-9E8C-73F40AC91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F65"/>
    <w:pPr>
      <w:suppressAutoHyphens/>
      <w:autoSpaceDN w:val="0"/>
      <w:spacing w:line="276" w:lineRule="auto"/>
      <w:textAlignment w:val="baseline"/>
    </w:pPr>
    <w:rPr>
      <w:rFonts w:ascii="Aptos" w:eastAsia="Aptos" w:hAnsi="Aptos" w:cs="Times New Roman"/>
      <w:kern w:val="3"/>
      <w:sz w:val="24"/>
      <w:szCs w:val="24"/>
      <w:lang w:val="en-US"/>
      <w14:ligatures w14:val="none"/>
    </w:rPr>
  </w:style>
  <w:style w:type="paragraph" w:styleId="Ttulo1">
    <w:name w:val="heading 1"/>
    <w:basedOn w:val="Normal"/>
    <w:next w:val="Normal"/>
    <w:link w:val="Ttulo1Car"/>
    <w:uiPriority w:val="9"/>
    <w:qFormat/>
    <w:rsid w:val="00723F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23F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23F6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23F6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23F6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23F6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23F6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23F6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23F6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3F6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23F6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23F6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23F6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23F6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23F6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23F6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23F6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23F65"/>
    <w:rPr>
      <w:rFonts w:eastAsiaTheme="majorEastAsia" w:cstheme="majorBidi"/>
      <w:color w:val="272727" w:themeColor="text1" w:themeTint="D8"/>
    </w:rPr>
  </w:style>
  <w:style w:type="paragraph" w:styleId="Ttulo">
    <w:name w:val="Title"/>
    <w:basedOn w:val="Normal"/>
    <w:next w:val="Normal"/>
    <w:link w:val="TtuloCar"/>
    <w:uiPriority w:val="10"/>
    <w:qFormat/>
    <w:rsid w:val="00723F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23F6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23F6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23F6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23F65"/>
    <w:pPr>
      <w:spacing w:before="160"/>
      <w:jc w:val="center"/>
    </w:pPr>
    <w:rPr>
      <w:i/>
      <w:iCs/>
      <w:color w:val="404040" w:themeColor="text1" w:themeTint="BF"/>
    </w:rPr>
  </w:style>
  <w:style w:type="character" w:customStyle="1" w:styleId="CitaCar">
    <w:name w:val="Cita Car"/>
    <w:basedOn w:val="Fuentedeprrafopredeter"/>
    <w:link w:val="Cita"/>
    <w:uiPriority w:val="29"/>
    <w:rsid w:val="00723F65"/>
    <w:rPr>
      <w:i/>
      <w:iCs/>
      <w:color w:val="404040" w:themeColor="text1" w:themeTint="BF"/>
    </w:rPr>
  </w:style>
  <w:style w:type="paragraph" w:styleId="Prrafodelista">
    <w:name w:val="List Paragraph"/>
    <w:basedOn w:val="Normal"/>
    <w:qFormat/>
    <w:rsid w:val="00723F65"/>
    <w:pPr>
      <w:ind w:left="720"/>
      <w:contextualSpacing/>
    </w:pPr>
  </w:style>
  <w:style w:type="character" w:styleId="nfasisintenso">
    <w:name w:val="Intense Emphasis"/>
    <w:basedOn w:val="Fuentedeprrafopredeter"/>
    <w:uiPriority w:val="21"/>
    <w:qFormat/>
    <w:rsid w:val="00723F65"/>
    <w:rPr>
      <w:i/>
      <w:iCs/>
      <w:color w:val="0F4761" w:themeColor="accent1" w:themeShade="BF"/>
    </w:rPr>
  </w:style>
  <w:style w:type="paragraph" w:styleId="Citadestacada">
    <w:name w:val="Intense Quote"/>
    <w:basedOn w:val="Normal"/>
    <w:next w:val="Normal"/>
    <w:link w:val="CitadestacadaCar"/>
    <w:uiPriority w:val="30"/>
    <w:qFormat/>
    <w:rsid w:val="00723F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23F65"/>
    <w:rPr>
      <w:i/>
      <w:iCs/>
      <w:color w:val="0F4761" w:themeColor="accent1" w:themeShade="BF"/>
    </w:rPr>
  </w:style>
  <w:style w:type="character" w:styleId="Referenciaintensa">
    <w:name w:val="Intense Reference"/>
    <w:basedOn w:val="Fuentedeprrafopredeter"/>
    <w:uiPriority w:val="32"/>
    <w:qFormat/>
    <w:rsid w:val="00723F65"/>
    <w:rPr>
      <w:b/>
      <w:bCs/>
      <w:smallCaps/>
      <w:color w:val="0F4761" w:themeColor="accent1" w:themeShade="BF"/>
      <w:spacing w:val="5"/>
    </w:rPr>
  </w:style>
  <w:style w:type="character" w:styleId="Hipervnculo">
    <w:name w:val="Hyperlink"/>
    <w:basedOn w:val="Fuentedeprrafopredeter"/>
    <w:rsid w:val="00723F65"/>
    <w:rPr>
      <w:color w:val="467886"/>
      <w:u w:val="single"/>
    </w:rPr>
  </w:style>
  <w:style w:type="character" w:styleId="Mencinsinresolver">
    <w:name w:val="Unresolved Mention"/>
    <w:basedOn w:val="Fuentedeprrafopredeter"/>
    <w:uiPriority w:val="99"/>
    <w:semiHidden/>
    <w:unhideWhenUsed/>
    <w:rsid w:val="00323369"/>
    <w:rPr>
      <w:color w:val="605E5C"/>
      <w:shd w:val="clear" w:color="auto" w:fill="E1DFDD"/>
    </w:rPr>
  </w:style>
  <w:style w:type="character" w:styleId="Hipervnculovisitado">
    <w:name w:val="FollowedHyperlink"/>
    <w:basedOn w:val="Fuentedeprrafopredeter"/>
    <w:uiPriority w:val="99"/>
    <w:semiHidden/>
    <w:unhideWhenUsed/>
    <w:rsid w:val="008C7E4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mulador-bonos.kngadvisors.com/storage/biblioteca/investment-memorandum-series-4_rtCbc.pdf" TargetMode="External"/><Relationship Id="rId13" Type="http://schemas.openxmlformats.org/officeDocument/2006/relationships/hyperlink" Target="https://simulador-bonos.kngadvisors.com/storage/biblioteca/security-trust-deed-of-the-bond-with-verdant_vxWim.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mulador-bonos.kngadvisors.com/storage/biblioteca/factsheet-series-4-bond-summary_m6Rrq.pdf" TargetMode="External"/><Relationship Id="rId12" Type="http://schemas.openxmlformats.org/officeDocument/2006/relationships/hyperlink" Target="https://simulador-bonos.kngadvisors.co.uk/storage/biblioteca/seven-stars-faq_UvBdc.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imulador-bonos.kngadvisors.com/storage/biblioteca/seven-stars-newsletter-q3-2025_TWKcu.pdf" TargetMode="External"/><Relationship Id="rId1" Type="http://schemas.openxmlformats.org/officeDocument/2006/relationships/numbering" Target="numbering.xml"/><Relationship Id="rId6" Type="http://schemas.openxmlformats.org/officeDocument/2006/relationships/hyperlink" Target="https://simulador-bonos.kngadvisors.com/storage/biblioteca/investment-memorandum-series-1-dec-2028-usd_DttPo.pdf" TargetMode="External"/><Relationship Id="rId11" Type="http://schemas.openxmlformats.org/officeDocument/2006/relationships/hyperlink" Target="https://simulador-bonos.kngadvisors.co.uk/storage/biblioteca/seven-stars-estructura-del-bono_vNU3c.pdf" TargetMode="External"/><Relationship Id="rId5" Type="http://schemas.openxmlformats.org/officeDocument/2006/relationships/hyperlink" Target="https://simulador-bonos.kngadvisors.com/storage/biblioteca/seven-stars-legal-funding-factsheet-series-1-usd_YhMvt.pdf" TargetMode="External"/><Relationship Id="rId15" Type="http://schemas.openxmlformats.org/officeDocument/2006/relationships/hyperlink" Target="https://simulador-bonos.kngadvisors.com/storage/biblioteca/newsletter-t4-2025_Joi63.pdf" TargetMode="External"/><Relationship Id="rId10" Type="http://schemas.openxmlformats.org/officeDocument/2006/relationships/hyperlink" Target="https://simulador-bonos.kngadvisors.com/storage/biblioteca/seven-stars-about-us_QhE5X.pdf" TargetMode="External"/><Relationship Id="rId4" Type="http://schemas.openxmlformats.org/officeDocument/2006/relationships/webSettings" Target="webSettings.xml"/><Relationship Id="rId9" Type="http://schemas.openxmlformats.org/officeDocument/2006/relationships/hyperlink" Target="https://simulador-bonos.kngadvisors.co.uk/storage/biblioteca/seven-stars-gobierno-corporativo_Ej9fk.pdf" TargetMode="External"/><Relationship Id="rId14" Type="http://schemas.openxmlformats.org/officeDocument/2006/relationships/hyperlink" Target="https://simulador-bonos.kngadvisors.com/storage/biblioteca/about-us-verdant-v0_n7TOI.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930</Words>
  <Characters>5120</Characters>
  <Application>Microsoft Office Word</Application>
  <DocSecurity>0</DocSecurity>
  <Lines>42</Lines>
  <Paragraphs>12</Paragraphs>
  <ScaleCrop>false</ScaleCrop>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Emiliano Pantoja</dc:creator>
  <cp:keywords/>
  <dc:description/>
  <cp:lastModifiedBy>América Ceja</cp:lastModifiedBy>
  <cp:revision>49</cp:revision>
  <dcterms:created xsi:type="dcterms:W3CDTF">2026-01-21T19:10:00Z</dcterms:created>
  <dcterms:modified xsi:type="dcterms:W3CDTF">2026-02-09T15:48:00Z</dcterms:modified>
</cp:coreProperties>
</file>