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B20" w:rsidP="00330B26" w:rsidRDefault="00BB1073" w14:paraId="59FF5263" w14:textId="77777777">
      <w:pPr>
        <w:rPr>
          <w:b/>
          <w:bCs/>
          <w:i/>
          <w:iCs/>
        </w:rPr>
      </w:pPr>
      <w:r w:rsidRPr="00C8499B">
        <w:rPr>
          <w:b/>
          <w:bCs/>
          <w:i/>
          <w:iCs/>
          <w:color w:val="0070C0"/>
        </w:rPr>
        <w:t>EMAIL SUBJECT</w:t>
      </w:r>
      <w:r>
        <w:rPr>
          <w:b/>
          <w:bCs/>
          <w:i/>
          <w:iCs/>
        </w:rPr>
        <w:t xml:space="preserve">: </w:t>
      </w:r>
    </w:p>
    <w:p w:rsidRPr="00062828" w:rsidR="00576B20" w:rsidP="00330B26" w:rsidRDefault="00576B20" w14:paraId="66B16B74" w14:textId="77777777">
      <w:pPr>
        <w:rPr>
          <w:b/>
          <w:bCs/>
          <w:i/>
          <w:iCs/>
          <w:lang w:val="en-US"/>
        </w:rPr>
      </w:pPr>
    </w:p>
    <w:p w:rsidRPr="00330B26" w:rsidR="00330B26" w:rsidP="31E745AA" w:rsidRDefault="00BB1073" w14:paraId="7F48AA38" w14:textId="6CA48C1E">
      <w:pPr>
        <w:rPr>
          <w:b w:val="1"/>
          <w:bCs w:val="1"/>
          <w:i w:val="1"/>
          <w:iCs w:val="1"/>
        </w:rPr>
      </w:pPr>
      <w:r w:rsidRPr="31E745AA" w:rsidR="00BB1073">
        <w:rPr>
          <w:b w:val="1"/>
          <w:bCs w:val="1"/>
          <w:i w:val="1"/>
          <w:iCs w:val="1"/>
        </w:rPr>
        <w:t>1.</w:t>
      </w:r>
      <w:r w:rsidRPr="31E745AA" w:rsidR="00330B26">
        <w:rPr>
          <w:b w:val="1"/>
          <w:bCs w:val="1"/>
          <w:i w:val="1"/>
          <w:iCs w:val="1"/>
        </w:rPr>
        <w:t xml:space="preserve"> </w:t>
      </w:r>
      <w:r w:rsidRPr="31E745AA" w:rsidR="009A5F63">
        <w:rPr>
          <w:b w:val="1"/>
          <w:bCs w:val="1"/>
          <w:i w:val="1"/>
          <w:iCs w:val="1"/>
        </w:rPr>
        <w:t xml:space="preserve">UK </w:t>
      </w:r>
      <w:r w:rsidRPr="31E745AA" w:rsidR="00330B26">
        <w:rPr>
          <w:b w:val="1"/>
          <w:bCs w:val="1"/>
          <w:i w:val="1"/>
          <w:iCs w:val="1"/>
        </w:rPr>
        <w:t>Private Debt: High Yield Fixed Income - Woodville Consultants Ltd (10%-15%pa)</w:t>
      </w:r>
      <w:r w:rsidRPr="31E745AA" w:rsidR="5B1F5D4B">
        <w:rPr>
          <w:b w:val="1"/>
          <w:bCs w:val="1"/>
          <w:i w:val="1"/>
          <w:iCs w:val="1"/>
        </w:rPr>
        <w:t xml:space="preserve"> </w:t>
      </w:r>
    </w:p>
    <w:p w:rsidRPr="00062828" w:rsidR="00062828" w:rsidP="00062828" w:rsidRDefault="00790049" w14:paraId="03D1FFB2" w14:textId="6EF55C09">
      <w:r>
        <w:br/>
      </w:r>
      <w:r w:rsidR="00062828">
        <w:rPr/>
        <w:t>Continuing our discussion this email will present the first Private Debt investment option in the ATE &amp; precedent led Litigation Finance Sector in the UK, with</w:t>
      </w:r>
      <w:r w:rsidRPr="31E745AA" w:rsidR="00062828">
        <w:rPr>
          <w:b w:val="1"/>
          <w:bCs w:val="1"/>
        </w:rPr>
        <w:t xml:space="preserve"> Woodville Consultants Ltd. </w:t>
      </w:r>
      <w:r>
        <w:br/>
      </w:r>
      <w:r>
        <w:br/>
      </w:r>
      <w:r w:rsidRPr="31E745AA" w:rsidR="00062828">
        <w:rPr>
          <w:i w:val="1"/>
          <w:iCs w:val="1"/>
        </w:rPr>
        <w:t>The UK litigation finance sector has quadrupled in the last 12 years and Swiss RE estimate the sector´s capitalization is around $2.7 billion summing up UK´s top 15 litigation companies.</w:t>
      </w:r>
    </w:p>
    <w:p w:rsidRPr="00453C31" w:rsidR="00330B26" w:rsidP="00062828" w:rsidRDefault="00062828" w14:paraId="281BF54C" w14:textId="2A4AFE59">
      <w:r w:rsidRPr="00062828">
        <w:rPr>
          <w:b/>
          <w:bCs/>
        </w:rPr>
        <w:br/>
      </w:r>
      <w:r w:rsidRPr="00062828">
        <w:rPr>
          <w:b/>
          <w:bCs/>
        </w:rPr>
        <w:t>Woodville</w:t>
      </w:r>
      <w:r w:rsidRPr="00062828">
        <w:t> </w:t>
      </w:r>
      <w:r w:rsidRPr="00062828">
        <w:rPr>
          <w:b/>
          <w:bCs/>
        </w:rPr>
        <w:t>Consultants Ltd</w:t>
      </w:r>
      <w:r w:rsidRPr="00062828">
        <w:t xml:space="preserve"> have issued a £500 million raise via their loan notes for the financing of </w:t>
      </w:r>
      <w:r w:rsidRPr="00062828">
        <w:rPr>
          <w:b/>
          <w:bCs/>
        </w:rPr>
        <w:t>After The Event</w:t>
      </w:r>
      <w:r w:rsidRPr="00062828">
        <w:t xml:space="preserve"> ligation cases in the UK. </w:t>
      </w:r>
      <w:r w:rsidRPr="00453C31" w:rsidR="00330B26">
        <w:br/>
      </w:r>
    </w:p>
    <w:p w:rsidRPr="00453C31" w:rsidR="00330B26" w:rsidP="00330B26" w:rsidRDefault="00330B26" w14:paraId="539E1D7B" w14:textId="77777777">
      <w:r w:rsidRPr="00453C31">
        <w:rPr>
          <w:b/>
          <w:bCs/>
        </w:rPr>
        <w:t>The Woodville ATE Loan Note series offers fixed interest rates of between 10%pa and 15%pa for set terms of 12 months to 36 months.</w:t>
      </w:r>
      <w:r w:rsidRPr="00453C31">
        <w:rPr>
          <w:b/>
          <w:bCs/>
        </w:rPr>
        <w:br/>
      </w:r>
      <w:r w:rsidRPr="00453C31">
        <w:rPr>
          <w:b/>
          <w:bCs/>
        </w:rPr>
        <w:t> </w:t>
      </w:r>
    </w:p>
    <w:p w:rsidRPr="00547B96" w:rsidR="00330B26" w:rsidP="00330B26" w:rsidRDefault="00547B96" w14:paraId="73DDCC5A" w14:textId="1BAEAFA1">
      <w:r w:rsidRPr="00547B96">
        <w:rPr>
          <w:b/>
          <w:bCs/>
        </w:rPr>
        <w:t>Woodville Consultants Ltd</w:t>
      </w:r>
      <w:r w:rsidRPr="00547B96">
        <w:t xml:space="preserve"> has been financing litigation cases against highly capitalised institutions in the UK since 2012 and started their loan note series in 2019 with around 600,000 GBP. They now manage a loan book (Sept 2025) with over £198 million. They have financed 377,927 legal claims with no defaults. In total the loan note series has raised over £307 million and </w:t>
      </w:r>
      <w:proofErr w:type="gramStart"/>
      <w:r w:rsidRPr="00547B96">
        <w:t>returned back</w:t>
      </w:r>
      <w:proofErr w:type="gramEnd"/>
      <w:r w:rsidRPr="00547B96">
        <w:t xml:space="preserve"> to investors in maturities over £124 million with no defaults since 2019. </w:t>
      </w:r>
      <w:r w:rsidRPr="00547B96" w:rsidR="00330B26">
        <w:br/>
      </w:r>
    </w:p>
    <w:p w:rsidRPr="00453C31" w:rsidR="00330B26" w:rsidP="00330B26" w:rsidRDefault="00330B26" w14:paraId="1EF57C47" w14:textId="77777777">
      <w:r w:rsidRPr="00453C31">
        <w:t>Their loan note series has issued 19 ISINs with 11 having matured with prompt interest and capital back investors and 8 remain active still. </w:t>
      </w:r>
      <w:r w:rsidRPr="00453C31">
        <w:br/>
      </w:r>
    </w:p>
    <w:p w:rsidRPr="00453C31" w:rsidR="00330B26" w:rsidP="00330B26" w:rsidRDefault="00330B26" w14:paraId="4AAD72B4" w14:textId="77777777">
      <w:r w:rsidRPr="00453C31">
        <w:rPr>
          <w:b/>
          <w:bCs/>
        </w:rPr>
        <w:t>Woodville</w:t>
      </w:r>
      <w:r w:rsidRPr="00453C31">
        <w:t xml:space="preserve"> loan to 15 different SRA regulated law firms and every single loan is insured with an individual ATE (After </w:t>
      </w:r>
      <w:proofErr w:type="gramStart"/>
      <w:r w:rsidRPr="00453C31">
        <w:t>The</w:t>
      </w:r>
      <w:proofErr w:type="gramEnd"/>
      <w:r w:rsidRPr="00453C31">
        <w:t xml:space="preserve"> Event) insurance to mitigate risk of loss of capital. Talisman Fidelity and Surety, from USA, issue the ATE policies and they are re-insured by Lloyds of London (AM Best A rated). Each loan is limited up to £5,000 and lasts from 6 -18 months and Woodville charge 5% a month interest (60% APR).</w:t>
      </w:r>
      <w:r w:rsidRPr="00453C31">
        <w:br/>
      </w:r>
    </w:p>
    <w:p w:rsidRPr="00330B26" w:rsidR="00330B26" w:rsidP="00330B26" w:rsidRDefault="00330B26" w14:paraId="7B164518" w14:textId="77777777">
      <w:pPr>
        <w:rPr>
          <w:i/>
          <w:iCs/>
        </w:rPr>
      </w:pPr>
      <w:r w:rsidRPr="00453C31">
        <w:t xml:space="preserve">Investors with $100,000 USD+ also receive an additional insurance policy in their name called a </w:t>
      </w:r>
      <w:r w:rsidRPr="00453C31">
        <w:rPr>
          <w:b/>
          <w:bCs/>
        </w:rPr>
        <w:t>Capital Protection Bond</w:t>
      </w:r>
      <w:r w:rsidRPr="00453C31">
        <w:t xml:space="preserve"> at no additional costs. This is an additional level of </w:t>
      </w:r>
      <w:proofErr w:type="gramStart"/>
      <w:r w:rsidRPr="00453C31">
        <w:t>protection</w:t>
      </w:r>
      <w:proofErr w:type="gramEnd"/>
      <w:r w:rsidRPr="00453C31">
        <w:t xml:space="preserve"> and it works in the same way as the ATE insurance but allows the investor to make any claim a well as Woodville in case a litigation case is not won.</w:t>
      </w:r>
      <w:r w:rsidRPr="00330B26">
        <w:rPr>
          <w:i/>
          <w:iCs/>
        </w:rPr>
        <w:br/>
      </w:r>
    </w:p>
    <w:p w:rsidRPr="00453C31" w:rsidR="00330B26" w:rsidP="00330B26" w:rsidRDefault="00330B26" w14:paraId="2065A487" w14:textId="77777777">
      <w:pPr>
        <w:rPr>
          <w:rFonts w:cstheme="minorHAnsi"/>
          <w:b/>
          <w:bCs/>
        </w:rPr>
      </w:pPr>
      <w:r w:rsidRPr="00453C31">
        <w:rPr>
          <w:rFonts w:cstheme="minorHAnsi"/>
          <w:b/>
          <w:bCs/>
        </w:rPr>
        <w:t>Quick Explainer videos:</w:t>
      </w:r>
    </w:p>
    <w:p w:rsidRPr="00453C31" w:rsidR="00330B26" w:rsidP="00330B26" w:rsidRDefault="00330B26" w14:paraId="76659DCA" w14:textId="77777777">
      <w:pPr>
        <w:rPr>
          <w:rFonts w:cstheme="minorHAnsi"/>
          <w:b/>
          <w:bCs/>
        </w:rPr>
      </w:pPr>
      <w:bookmarkStart w:name="_Hlk194948111" w:id="0"/>
      <w:r w:rsidRPr="00453C31">
        <w:rPr>
          <w:rFonts w:ascii="Segoe UI Emoji" w:hAnsi="Segoe UI Emoji" w:cs="Segoe UI Emoji"/>
          <w:b/>
          <w:bCs/>
        </w:rPr>
        <w:t>✅</w:t>
      </w:r>
      <w:r w:rsidRPr="00453C31">
        <w:rPr>
          <w:rFonts w:cstheme="minorHAnsi"/>
          <w:b/>
          <w:bCs/>
        </w:rPr>
        <w:t xml:space="preserve"> </w:t>
      </w:r>
      <w:hyperlink w:tooltip="https://www.youtube.com/watch?v=SWvZ8ug1ezw" w:history="1" r:id="rId5">
        <w:r w:rsidRPr="00453C31">
          <w:rPr>
            <w:rStyle w:val="Hyperlink"/>
            <w:rFonts w:cstheme="minorHAnsi"/>
            <w:b/>
            <w:bCs/>
          </w:rPr>
          <w:t>Woodville Explainer Video 1 - (2 mins)</w:t>
        </w:r>
      </w:hyperlink>
    </w:p>
    <w:p w:rsidRPr="00453C31" w:rsidR="00330B26" w:rsidP="00330B26" w:rsidRDefault="00330B26" w14:paraId="33634AEA" w14:textId="77777777">
      <w:pPr>
        <w:rPr>
          <w:rFonts w:cstheme="minorHAnsi"/>
          <w:b/>
          <w:bCs/>
        </w:rPr>
      </w:pPr>
      <w:r w:rsidRPr="00453C31">
        <w:rPr>
          <w:rFonts w:ascii="Segoe UI Emoji" w:hAnsi="Segoe UI Emoji" w:cs="Segoe UI Emoji"/>
          <w:b/>
          <w:bCs/>
        </w:rPr>
        <w:t>✅</w:t>
      </w:r>
      <w:r w:rsidRPr="00453C31">
        <w:rPr>
          <w:rFonts w:cstheme="minorHAnsi"/>
          <w:b/>
          <w:bCs/>
        </w:rPr>
        <w:t xml:space="preserve"> </w:t>
      </w:r>
      <w:hyperlink w:tooltip="https://www.youtube.com/watch?v=H4trbK2cJRo" w:history="1" r:id="rId6">
        <w:r w:rsidRPr="00453C31">
          <w:rPr>
            <w:rStyle w:val="Hyperlink"/>
            <w:rFonts w:cstheme="minorHAnsi"/>
            <w:b/>
            <w:bCs/>
          </w:rPr>
          <w:t>Woodville Video 2 – How is 10%pa+ Possible? (3 mins)</w:t>
        </w:r>
      </w:hyperlink>
      <w:r w:rsidRPr="00453C31">
        <w:rPr>
          <w:rFonts w:cstheme="minorHAnsi"/>
        </w:rPr>
        <w:br/>
      </w:r>
      <w:r w:rsidRPr="00453C31">
        <w:rPr>
          <w:rFonts w:ascii="Segoe UI Emoji" w:hAnsi="Segoe UI Emoji" w:cs="Segoe UI Emoji"/>
          <w:b/>
          <w:bCs/>
        </w:rPr>
        <w:t>✅</w:t>
      </w:r>
      <w:r w:rsidRPr="00453C31">
        <w:rPr>
          <w:rFonts w:cstheme="minorHAnsi"/>
          <w:b/>
          <w:bCs/>
        </w:rPr>
        <w:t xml:space="preserve"> </w:t>
      </w:r>
      <w:hyperlink w:history="1" r:id="rId7">
        <w:r w:rsidRPr="00453C31">
          <w:rPr>
            <w:rStyle w:val="Hyperlink"/>
            <w:rFonts w:cstheme="minorHAnsi"/>
            <w:b/>
            <w:bCs/>
          </w:rPr>
          <w:t>Woodville Video 3 - FAQ</w:t>
        </w:r>
      </w:hyperlink>
      <w:r w:rsidRPr="00453C31">
        <w:rPr>
          <w:rFonts w:cstheme="minorHAnsi"/>
          <w:b/>
          <w:bCs/>
        </w:rPr>
        <w:t xml:space="preserve"> – (4 mins)</w:t>
      </w:r>
      <w:r w:rsidRPr="00453C31">
        <w:rPr>
          <w:rFonts w:cstheme="minorHAnsi"/>
          <w:b/>
          <w:bCs/>
        </w:rPr>
        <w:br/>
      </w:r>
    </w:p>
    <w:p w:rsidRPr="00453C31" w:rsidR="00330B26" w:rsidP="00330B26" w:rsidRDefault="00330B26" w14:paraId="033DC8A8" w14:textId="77777777">
      <w:pPr>
        <w:rPr>
          <w:rFonts w:cstheme="minorHAnsi"/>
          <w:b/>
          <w:bCs/>
        </w:rPr>
      </w:pPr>
      <w:r w:rsidRPr="00453C31">
        <w:rPr>
          <w:rFonts w:ascii="Segoe UI Emoji" w:hAnsi="Segoe UI Emoji" w:cs="Segoe UI Emoji"/>
          <w:b/>
          <w:bCs/>
        </w:rPr>
        <w:t>📁</w:t>
      </w:r>
      <w:r w:rsidRPr="00453C31">
        <w:rPr>
          <w:rFonts w:cstheme="minorHAnsi"/>
          <w:b/>
          <w:bCs/>
        </w:rPr>
        <w:t xml:space="preserve"> You can download the various Due Diligence documents from the following links:</w:t>
      </w:r>
    </w:p>
    <w:p w:rsidRPr="00453C31" w:rsidR="00330B26" w:rsidP="4D5E3B3A" w:rsidRDefault="00330B26" w14:paraId="5A0C023C" w14:textId="7BA5756E">
      <w:pPr>
        <w:rPr>
          <w:u w:val="single"/>
        </w:rPr>
      </w:pPr>
      <w:r w:rsidRPr="5736DADB" w:rsidR="00330B26">
        <w:rPr>
          <w:rFonts w:ascii="Segoe UI Emoji" w:hAnsi="Segoe UI Emoji" w:cs="Segoe UI Emoji"/>
          <w:b w:val="1"/>
          <w:bCs w:val="1"/>
        </w:rPr>
        <w:t>✅</w:t>
      </w:r>
      <w:r w:rsidRPr="5736DADB" w:rsidR="00330B26">
        <w:rPr>
          <w:b w:val="1"/>
          <w:bCs w:val="1"/>
        </w:rPr>
        <w:t xml:space="preserve"> </w:t>
      </w:r>
      <w:hyperlink r:id="R67e5d2b2eea74750">
        <w:r w:rsidRPr="5736DADB" w:rsidR="00330B26">
          <w:rPr>
            <w:rStyle w:val="Hyperlink"/>
          </w:rPr>
          <w:t>Corporate Presentation</w:t>
        </w:r>
      </w:hyperlink>
      <w:r w:rsidR="00330B26">
        <w:rPr/>
        <w:t xml:space="preserve"> 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>
        <w:fldChar w:fldCharType="begin"/>
      </w:r>
      <w:r>
        <w:instrText xml:space="preserve">HYPERLINK "https://simulador-bonos.kngadvisors.co.uk/storage/biblioteca/factsheet-isin-2027-maturity_pxEZf.pdf"</w:instrText>
      </w:r>
      <w:r>
        <w:fldChar w:fldCharType="separate"/>
      </w:r>
      <w:r w:rsidRPr="5736DADB" w:rsidR="00330B26">
        <w:rPr>
          <w:rStyle w:val="Hyperlink"/>
        </w:rPr>
        <w:t xml:space="preserve"> Factsheet ISIN (2027)</w:t>
      </w:r>
      <w:r>
        <w:br/>
      </w:r>
      <w:r>
        <w:fldChar w:fldCharType="end"/>
      </w:r>
      <w:r w:rsidRPr="5736DADB" w:rsidR="008D492B">
        <w:rPr>
          <w:rFonts w:ascii="Segoe UI Emoji" w:hAnsi="Segoe UI Emoji" w:cs="Segoe UI Emoji"/>
        </w:rPr>
        <w:t>✅</w:t>
      </w:r>
      <w:r>
        <w:fldChar w:fldCharType="begin"/>
      </w:r>
      <w:r>
        <w:instrText xml:space="preserve">HYPERLINK "https://simulador-bonos.kngadvisors.co.uk/storage/biblioteca/factsheet-direct-investment-min-10-000_Cwi06.pdf"</w:instrText>
      </w:r>
      <w:r>
        <w:fldChar w:fldCharType="separate"/>
      </w:r>
      <w:r w:rsidRPr="5736DADB" w:rsidR="00330B26">
        <w:rPr>
          <w:rStyle w:val="Hyperlink"/>
        </w:rPr>
        <w:t>Factsheet Direct Subscription 10,000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r>
        <w:fldChar w:fldCharType="begin"/>
      </w:r>
      <w:r>
        <w:instrText xml:space="preserve">HYPERLINK "https://simulador-bonos.kngadvisors.co.uk/storage/biblioteca/factsheet-direct-investment-min-500-000_U0MKD.pdf"</w:instrText>
      </w:r>
      <w:r>
        <w:fldChar w:fldCharType="separate"/>
      </w:r>
      <w:r w:rsidRPr="5736DADB" w:rsidR="00330B26">
        <w:rPr>
          <w:rStyle w:val="Hyperlink"/>
        </w:rPr>
        <w:t>Factsheet Direct Subscription 500,000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r>
        <w:fldChar w:fldCharType="begin"/>
      </w:r>
      <w:r>
        <w:instrText xml:space="preserve">HYPERLINK "https://simulador-bonos.kngadvisors.co.uk/storage/biblioteca/factsheet-direct-investment-min-1-000-000_La5yO.pdf"</w:instrText>
      </w:r>
      <w:r>
        <w:fldChar w:fldCharType="separate"/>
      </w:r>
      <w:r w:rsidRPr="5736DADB" w:rsidR="00330B26">
        <w:rPr>
          <w:rStyle w:val="Hyperlink"/>
        </w:rPr>
        <w:t>Factsheet Direct Subscription 1,000,000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r>
        <w:fldChar w:fldCharType="begin"/>
      </w:r>
      <w:r>
        <w:instrText xml:space="preserve">HYPERLINK "https://simulador-bonos.kngadvisors.co.uk/storage/biblioteca/investment-memorandum-isin-2027-usd_pybEi.pdf"</w:instrText>
      </w:r>
      <w:r>
        <w:fldChar w:fldCharType="separate"/>
      </w:r>
      <w:r w:rsidRPr="5736DADB" w:rsidR="00330B26">
        <w:rPr>
          <w:rStyle w:val="Hyperlink"/>
        </w:rPr>
        <w:t>Investment Memorandum Woodville ISIN 2027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4a8ee2f07dc14b5c">
        <w:r w:rsidRPr="5736DADB" w:rsidR="00330B26">
          <w:rPr>
            <w:rStyle w:val="Hyperlink"/>
          </w:rPr>
          <w:t>Talisman Insurance Explanation</w:t>
        </w:r>
      </w:hyperlink>
      <w:r w:rsidR="00120439">
        <w:rPr/>
        <w:t xml:space="preserve"> - to fully understand ATE insurance and Capital Protection Bond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02a18ed0acad4142">
        <w:r w:rsidRPr="5736DADB" w:rsidR="00330B26">
          <w:rPr>
            <w:rStyle w:val="Hyperlink"/>
          </w:rPr>
          <w:t>Investor Security Doc</w:t>
        </w:r>
      </w:hyperlink>
      <w:r w:rsidR="00330B26">
        <w:rPr/>
        <w:t xml:space="preserve"> – 8 layers of security</w:t>
      </w:r>
      <w:r w:rsidR="00120439">
        <w:rPr/>
        <w:t xml:space="preserve"> to understand all the risks and how Woodville mitigates them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198ba378156341c5">
        <w:r w:rsidRPr="5736DADB" w:rsidR="00330B26">
          <w:rPr>
            <w:rStyle w:val="Hyperlink"/>
          </w:rPr>
          <w:t>Latest Debt Satisfaction Letter from Neville Registrars USD</w:t>
        </w:r>
      </w:hyperlink>
      <w:r w:rsidR="00330B26">
        <w:rPr/>
        <w:t xml:space="preserve"> (</w:t>
      </w:r>
      <w:r w:rsidR="00120439">
        <w:rPr/>
        <w:t>2024) (check satisfaction of all debts with ISIN)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2ec14b48835a42d1">
        <w:r w:rsidRPr="5736DADB" w:rsidR="00330B26">
          <w:rPr>
            <w:rStyle w:val="Hyperlink"/>
          </w:rPr>
          <w:t>Latest Debt Satisfaction Letter from Neville Registrars EUR &amp; GBP</w:t>
        </w:r>
      </w:hyperlink>
      <w:r w:rsidR="00330B26">
        <w:rPr/>
        <w:t xml:space="preserve"> (2024)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c65a054f1c4849e9">
        <w:r w:rsidRPr="5736DADB" w:rsidR="00330B26">
          <w:rPr>
            <w:rStyle w:val="Hyperlink"/>
          </w:rPr>
          <w:t xml:space="preserve">Loan Book </w:t>
        </w:r>
        <w:r w:rsidRPr="5736DADB" w:rsidR="29DCB28F">
          <w:rPr>
            <w:rStyle w:val="Hyperlink"/>
          </w:rPr>
          <w:t>Dec</w:t>
        </w:r>
        <w:r w:rsidRPr="5736DADB" w:rsidR="00BB1073">
          <w:rPr>
            <w:rStyle w:val="Hyperlink"/>
          </w:rPr>
          <w:t xml:space="preserve"> </w:t>
        </w:r>
        <w:r w:rsidRPr="5736DADB" w:rsidR="00330B26">
          <w:rPr>
            <w:rStyle w:val="Hyperlink"/>
          </w:rPr>
          <w:t>2025</w:t>
        </w:r>
      </w:hyperlink>
      <w:r w:rsidR="00120439">
        <w:rPr/>
        <w:t xml:space="preserve"> (monthly summary of how much is invested in each of the 5 types of litigation that WV finance – demonstrates the diversification)</w:t>
      </w:r>
      <w:r>
        <w:br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r>
        <w:fldChar w:fldCharType="begin"/>
      </w:r>
      <w:r>
        <w:instrText xml:space="preserve">HYPERLINK "https://simulador-bonos.kngadvisors.co.uk/storage/biblioteca/woodville-consultants-informe-de-2024_CoHnY.pdf"</w:instrText>
      </w:r>
      <w:r>
        <w:fldChar w:fldCharType="separate"/>
      </w:r>
      <w:r w:rsidRPr="5736DADB" w:rsidR="00330B26">
        <w:rPr>
          <w:rStyle w:val="Hyperlink"/>
        </w:rPr>
        <w:t>2024 Company Review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r>
        <w:fldChar w:fldCharType="begin"/>
      </w:r>
      <w:r>
        <w:instrText xml:space="preserve">HYPERLINK "https://simulador-bonos.kngadvisors.co.uk/storage/biblioteca/woodville-opinion-legal-2025_PwNrp.pdf"</w:instrText>
      </w:r>
      <w:r>
        <w:fldChar w:fldCharType="separate"/>
      </w:r>
      <w:r w:rsidRPr="5736DADB" w:rsidR="00330B26">
        <w:rPr>
          <w:rStyle w:val="Hyperlink"/>
        </w:rPr>
        <w:t>Woodville Opinion Legal 2025</w:t>
      </w:r>
      <w:r>
        <w:br/>
      </w:r>
      <w:r>
        <w:fldChar w:fldCharType="end"/>
      </w:r>
      <w:r w:rsidRPr="5736DADB" w:rsidR="00330B26">
        <w:rPr>
          <w:rFonts w:ascii="Segoe UI Emoji" w:hAnsi="Segoe UI Emoji" w:cs="Segoe UI Emoji"/>
        </w:rPr>
        <w:t>✅</w:t>
      </w:r>
      <w:r w:rsidR="00330B26">
        <w:rPr/>
        <w:t xml:space="preserve"> </w:t>
      </w:r>
      <w:hyperlink r:id="R9d30f0c8bf7e4dea">
        <w:r w:rsidRPr="5736DADB" w:rsidR="00330B26">
          <w:rPr>
            <w:rStyle w:val="Hyperlink"/>
          </w:rPr>
          <w:t>Next Wave Credit Rating BB+ (2023)</w:t>
        </w:r>
      </w:hyperlink>
    </w:p>
    <w:p w:rsidRPr="002019BA" w:rsidR="002019BA" w:rsidP="002019BA" w:rsidRDefault="00C02100" w14:paraId="7BFFD480" w14:textId="4ADD5B1E">
      <w:pPr>
        <w:pStyle w:val="ListParagraph"/>
        <w:numPr>
          <w:ilvl w:val="0"/>
          <w:numId w:val="1"/>
        </w:numPr>
        <w:rPr>
          <w:i/>
          <w:iCs/>
        </w:rPr>
      </w:pPr>
      <w:hyperlink w:history="1" r:id="rId22">
        <w:r w:rsidRPr="00C02100">
          <w:rPr>
            <w:rStyle w:val="Hyperlink"/>
            <w:rFonts w:cstheme="minorHAnsi"/>
            <w:b/>
            <w:bCs/>
          </w:rPr>
          <w:t xml:space="preserve">Financial </w:t>
        </w:r>
        <w:proofErr w:type="gramStart"/>
        <w:r w:rsidRPr="00C02100">
          <w:rPr>
            <w:rStyle w:val="Hyperlink"/>
            <w:rFonts w:cstheme="minorHAnsi"/>
            <w:b/>
            <w:bCs/>
          </w:rPr>
          <w:t>Statements  202</w:t>
        </w:r>
        <w:r w:rsidR="00775864">
          <w:rPr>
            <w:rStyle w:val="Hyperlink"/>
            <w:rFonts w:cstheme="minorHAnsi"/>
            <w:b/>
            <w:bCs/>
          </w:rPr>
          <w:t>4</w:t>
        </w:r>
        <w:proofErr w:type="gramEnd"/>
        <w:r w:rsidRPr="00C02100">
          <w:rPr>
            <w:rStyle w:val="Hyperlink"/>
            <w:rFonts w:cstheme="minorHAnsi"/>
            <w:b/>
            <w:bCs/>
          </w:rPr>
          <w:t xml:space="preserve"> Audited by Xeinadin Audit Limited</w:t>
        </w:r>
      </w:hyperlink>
      <w:r w:rsidRPr="00C02100">
        <w:rPr>
          <w:rFonts w:cstheme="minorHAnsi"/>
          <w:b/>
          <w:bCs/>
        </w:rPr>
        <w:t xml:space="preserve"> </w:t>
      </w:r>
      <w:r w:rsidR="00D05857">
        <w:rPr>
          <w:rFonts w:cstheme="minorHAnsi"/>
          <w:b/>
          <w:bCs/>
        </w:rPr>
        <w:br/>
      </w:r>
      <w:r w:rsidR="005C2FDD">
        <w:rPr>
          <w:rFonts w:cstheme="minorHAnsi"/>
        </w:rPr>
        <w:t xml:space="preserve">- </w:t>
      </w:r>
      <w:r w:rsidRPr="008D492B" w:rsidR="008D492B">
        <w:rPr>
          <w:rFonts w:cstheme="minorHAnsi"/>
        </w:rPr>
        <w:t xml:space="preserve">Shows revenue growth of 42%, from £39,401,330 to £55,999,879, driven by an increase in the company's loan portfolio. </w:t>
      </w:r>
      <w:r w:rsidRPr="005C2FDD" w:rsidR="008D492B">
        <w:rPr>
          <w:rFonts w:cstheme="minorHAnsi"/>
          <w:b/>
          <w:bCs/>
        </w:rPr>
        <w:t>Operating profit was £4,334,200 in 2024.</w:t>
      </w:r>
      <w:r w:rsidRPr="008D492B" w:rsidR="008D492B">
        <w:rPr>
          <w:rFonts w:cstheme="minorHAnsi"/>
        </w:rPr>
        <w:t xml:space="preserve"> Four consecutive years of operating profit. </w:t>
      </w:r>
    </w:p>
    <w:p w:rsidRPr="002019BA" w:rsidR="00E02F8D" w:rsidP="002019BA" w:rsidRDefault="002019BA" w14:paraId="64A8F425" w14:textId="219421B2">
      <w:pPr>
        <w:pStyle w:val="ListParagraph"/>
        <w:ind w:left="360"/>
        <w:rPr>
          <w:i/>
          <w:iCs/>
        </w:rPr>
      </w:pPr>
      <w:r>
        <w:rPr>
          <w:rFonts w:cstheme="minorHAnsi"/>
        </w:rPr>
        <w:t xml:space="preserve">- </w:t>
      </w:r>
      <w:r w:rsidRPr="002019BA" w:rsidR="008D492B">
        <w:rPr>
          <w:rFonts w:cstheme="minorHAnsi"/>
        </w:rPr>
        <w:t>If we consider EBITDA (earnings before interest, taxes, depreciation, and amortization) and add non-trading income, taxes, depreciation, amortization, and foreign exchange gains, we see that EBITDA increased from £2,513,306 to £4,279,930.</w:t>
      </w:r>
      <w:r w:rsidRPr="002019BA" w:rsidR="00912087">
        <w:rPr>
          <w:i/>
          <w:iCs/>
          <w:lang w:val="en-US"/>
        </w:rPr>
        <w:t xml:space="preserve"> Review files on</w:t>
      </w:r>
      <w:r w:rsidRPr="002019BA" w:rsidR="00912087">
        <w:rPr>
          <w:i/>
          <w:iCs/>
          <w:lang w:val="en-US"/>
        </w:rPr>
        <w:t xml:space="preserve"> </w:t>
      </w:r>
      <w:hyperlink w:history="1" r:id="rId23">
        <w:r w:rsidRPr="002019BA" w:rsidR="00912087">
          <w:rPr>
            <w:rStyle w:val="Hyperlink"/>
            <w:i/>
            <w:iCs/>
            <w:lang w:val="en-US"/>
          </w:rPr>
          <w:t>Companies House</w:t>
        </w:r>
      </w:hyperlink>
    </w:p>
    <w:p w:rsidRPr="00E02F8D" w:rsidR="004E1AF3" w:rsidP="00C02100" w:rsidRDefault="004E1AF3" w14:paraId="285B6E3B" w14:textId="2754F84F">
      <w:pPr>
        <w:pStyle w:val="ListParagraph"/>
        <w:numPr>
          <w:ilvl w:val="0"/>
          <w:numId w:val="1"/>
        </w:numPr>
        <w:rPr>
          <w:i/>
          <w:iCs/>
        </w:rPr>
      </w:pPr>
      <w:hyperlink w:history="1" r:id="rId24">
        <w:r w:rsidRPr="004E1AF3">
          <w:rPr>
            <w:rStyle w:val="Hyperlink"/>
          </w:rPr>
          <w:t>Woodville director´s letter (Aug 2025</w:t>
        </w:r>
      </w:hyperlink>
      <w:r>
        <w:t xml:space="preserve">) confirming healthy financial position mid 2025 and that Audited 2024 statements will be </w:t>
      </w:r>
      <w:proofErr w:type="gramStart"/>
      <w:r>
        <w:t>ready  in</w:t>
      </w:r>
      <w:proofErr w:type="gramEnd"/>
      <w:r>
        <w:t xml:space="preserve"> September 2025.</w:t>
      </w:r>
    </w:p>
    <w:p w:rsidRPr="009A4E1D" w:rsidR="00E02F8D" w:rsidP="00E02F8D" w:rsidRDefault="00E02F8D" w14:paraId="40AB1738" w14:textId="287FADC1">
      <w:pPr>
        <w:pStyle w:val="ListParagraph"/>
        <w:numPr>
          <w:ilvl w:val="0"/>
          <w:numId w:val="1"/>
        </w:numPr>
        <w:rPr>
          <w:lang w:val="en-US"/>
        </w:rPr>
      </w:pPr>
      <w:r w:rsidRPr="009A4E1D">
        <w:rPr>
          <w:rFonts w:ascii="Segoe UI Emoji" w:hAnsi="Segoe UI Emoji" w:cs="Segoe UI Emoji"/>
          <w:b/>
          <w:bCs/>
          <w:lang w:val="en-US"/>
        </w:rPr>
        <w:t xml:space="preserve"> </w:t>
      </w:r>
      <w:hyperlink w:history="1" r:id="rId25">
        <w:r w:rsidRPr="009A4E1D">
          <w:rPr>
            <w:rStyle w:val="Hyperlink"/>
            <w:b/>
            <w:bCs/>
            <w:lang w:val="en-US"/>
          </w:rPr>
          <w:t>Woodville Consultants</w:t>
        </w:r>
        <w:r w:rsidR="009A4E1D">
          <w:rPr>
            <w:rStyle w:val="Hyperlink"/>
            <w:b/>
            <w:bCs/>
            <w:lang w:val="en-US"/>
          </w:rPr>
          <w:t xml:space="preserve">´s Opinion </w:t>
        </w:r>
        <w:r w:rsidR="00ED7293">
          <w:rPr>
            <w:rStyle w:val="Hyperlink"/>
            <w:b/>
            <w:bCs/>
            <w:lang w:val="en-US"/>
          </w:rPr>
          <w:t xml:space="preserve">of the </w:t>
        </w:r>
        <w:r w:rsidRPr="009A4E1D">
          <w:rPr>
            <w:rStyle w:val="Hyperlink"/>
            <w:b/>
            <w:bCs/>
            <w:lang w:val="en-US"/>
          </w:rPr>
          <w:t>Supreme Court Ruling PCP Car Finance Claims (A</w:t>
        </w:r>
        <w:r w:rsidR="009A4E1D">
          <w:rPr>
            <w:rStyle w:val="Hyperlink"/>
            <w:b/>
            <w:bCs/>
            <w:lang w:val="en-US"/>
          </w:rPr>
          <w:t>ug</w:t>
        </w:r>
        <w:r w:rsidRPr="009A4E1D">
          <w:rPr>
            <w:rStyle w:val="Hyperlink"/>
            <w:b/>
            <w:bCs/>
            <w:lang w:val="en-US"/>
          </w:rPr>
          <w:t xml:space="preserve"> 2025)</w:t>
        </w:r>
      </w:hyperlink>
      <w:r w:rsidR="004E1AF3">
        <w:t xml:space="preserve"> – FC</w:t>
      </w:r>
      <w:r w:rsidR="00F01902">
        <w:t>A the redress scheme for DCA and DCA/fixed claim is official and</w:t>
      </w:r>
      <w:r w:rsidR="004E1AF3">
        <w:t xml:space="preserve"> believes banks will have to return </w:t>
      </w:r>
      <w:r w:rsidR="00F01902">
        <w:t xml:space="preserve">between </w:t>
      </w:r>
      <w:r w:rsidR="004E1AF3">
        <w:rPr>
          <w:rFonts w:cstheme="minorHAnsi"/>
        </w:rPr>
        <w:t>£</w:t>
      </w:r>
      <w:r w:rsidR="00F01902">
        <w:t>9</w:t>
      </w:r>
      <w:r w:rsidR="004E1AF3">
        <w:t xml:space="preserve">Bll </w:t>
      </w:r>
      <w:proofErr w:type="gramStart"/>
      <w:r w:rsidR="004E1AF3">
        <w:t xml:space="preserve">to  </w:t>
      </w:r>
      <w:r w:rsidR="004E1AF3">
        <w:rPr>
          <w:rFonts w:cstheme="minorHAnsi"/>
        </w:rPr>
        <w:t>£</w:t>
      </w:r>
      <w:proofErr w:type="gramEnd"/>
      <w:r w:rsidR="004E1AF3">
        <w:t xml:space="preserve"> 1</w:t>
      </w:r>
      <w:r w:rsidR="00F01902">
        <w:t>8</w:t>
      </w:r>
      <w:r w:rsidR="004E1AF3">
        <w:t>Bll back to auto mobile consumers.</w:t>
      </w:r>
    </w:p>
    <w:p w:rsidR="008B7E45" w:rsidP="00E02F8D" w:rsidRDefault="00C02100" w14:paraId="66CE0DD1" w14:textId="77777777">
      <w:pPr>
        <w:pStyle w:val="ListParagraph"/>
        <w:ind w:left="360"/>
        <w:rPr>
          <w:rFonts w:cstheme="minorHAnsi"/>
        </w:rPr>
      </w:pPr>
      <w:r>
        <w:rPr>
          <w:rFonts w:cstheme="minorHAnsi"/>
        </w:rPr>
        <w:br/>
      </w:r>
    </w:p>
    <w:p w:rsidRPr="008B7E45" w:rsidR="008B7E45" w:rsidP="008B7E45" w:rsidRDefault="008B7E45" w14:paraId="214A14BF" w14:textId="7ABFBDD6">
      <w:pPr>
        <w:pStyle w:val="ListParagraph"/>
        <w:ind w:left="360"/>
        <w:rPr>
          <w:rFonts w:cstheme="minorHAnsi"/>
        </w:rPr>
      </w:pPr>
      <w:r w:rsidRPr="00DF40EC">
        <w:rPr>
          <w:rFonts w:cstheme="minorHAnsi"/>
          <w:b/>
          <w:bCs/>
        </w:rPr>
        <w:t>20</w:t>
      </w:r>
      <w:r w:rsidRPr="00DF40EC" w:rsidR="00DF40EC">
        <w:rPr>
          <w:rFonts w:cstheme="minorHAnsi"/>
          <w:b/>
          <w:bCs/>
        </w:rPr>
        <w:t>23-2024 Audited Financial Statements:</w:t>
      </w:r>
      <w:r w:rsidR="00CE7C65">
        <w:rPr>
          <w:rFonts w:cstheme="minorHAnsi"/>
          <w:b/>
          <w:bCs/>
        </w:rPr>
        <w:t xml:space="preserve"> </w:t>
      </w:r>
      <w:r w:rsidRPr="00CE7C65" w:rsidR="00CE7C65">
        <w:rPr>
          <w:rFonts w:cstheme="minorHAnsi"/>
          <w:b/>
          <w:bCs/>
          <w:u w:val="single"/>
        </w:rPr>
        <w:t>Xeinadin Audit Limited</w:t>
      </w:r>
      <w:r w:rsidR="00DF40EC">
        <w:rPr>
          <w:rFonts w:cstheme="minorHAnsi"/>
        </w:rPr>
        <w:br/>
      </w:r>
      <w:r w:rsidR="00DF40EC">
        <w:rPr>
          <w:rFonts w:cstheme="minorHAnsi"/>
        </w:rPr>
        <w:br/>
      </w:r>
      <w:r w:rsidRPr="0077277D" w:rsidR="00DF40EC">
        <w:rPr>
          <w:rFonts w:cstheme="minorHAnsi"/>
          <w:b/>
          <w:bCs/>
        </w:rPr>
        <w:t>T</w:t>
      </w:r>
      <w:r w:rsidRPr="0077277D">
        <w:rPr>
          <w:rFonts w:cstheme="minorHAnsi"/>
          <w:b/>
          <w:bCs/>
        </w:rPr>
        <w:t>he key takeaways are:</w:t>
      </w:r>
    </w:p>
    <w:p w:rsidRPr="008B7E45" w:rsidR="008B7E45" w:rsidP="008B7E45" w:rsidRDefault="008B7E45" w14:paraId="320A9777" w14:textId="77777777">
      <w:pPr>
        <w:pStyle w:val="ListParagraph"/>
        <w:ind w:left="360"/>
        <w:rPr>
          <w:rFonts w:cstheme="minorHAnsi"/>
        </w:rPr>
      </w:pPr>
    </w:p>
    <w:p w:rsidRPr="008B7E45" w:rsidR="008B7E45" w:rsidP="008B7E45" w:rsidRDefault="008B7E45" w14:paraId="5B616CEC" w14:textId="77777777">
      <w:pPr>
        <w:pStyle w:val="ListParagraph"/>
        <w:ind w:left="360"/>
        <w:rPr>
          <w:rFonts w:cstheme="minorHAnsi"/>
        </w:rPr>
      </w:pPr>
      <w:r w:rsidRPr="008B7E45">
        <w:rPr>
          <w:rFonts w:cstheme="minorHAnsi"/>
        </w:rPr>
        <w:t>- Revenue growth of 42%, reaching £55,999,879 from £39,401,330, driven by an increase in the business’s loan book.</w:t>
      </w:r>
    </w:p>
    <w:p w:rsidRPr="008B7E45" w:rsidR="008B7E45" w:rsidP="008B7E45" w:rsidRDefault="008B7E45" w14:paraId="439C7885" w14:textId="77777777">
      <w:pPr>
        <w:pStyle w:val="ListParagraph"/>
        <w:ind w:left="360"/>
        <w:rPr>
          <w:rFonts w:cstheme="minorHAnsi"/>
        </w:rPr>
      </w:pPr>
      <w:r w:rsidRPr="008B7E45">
        <w:rPr>
          <w:rFonts w:cstheme="minorHAnsi"/>
        </w:rPr>
        <w:t>- Gross profit increased by 11.1% compared to the prior year, from £3,896,623 to £6,234,472.</w:t>
      </w:r>
    </w:p>
    <w:p w:rsidRPr="008B7E45" w:rsidR="008B7E45" w:rsidP="008B7E45" w:rsidRDefault="008B7E45" w14:paraId="64C85789" w14:textId="77777777">
      <w:pPr>
        <w:pStyle w:val="ListParagraph"/>
        <w:ind w:left="360"/>
        <w:rPr>
          <w:rFonts w:cstheme="minorHAnsi"/>
        </w:rPr>
      </w:pPr>
      <w:r w:rsidRPr="008B7E45">
        <w:rPr>
          <w:rFonts w:cstheme="minorHAnsi"/>
        </w:rPr>
        <w:t>- Net profit decreased by £4,799,083 - £4,334,200, primarily due to a significant FX gain of £2.48 million in 2023 compared to £168,000 in 2024.</w:t>
      </w:r>
    </w:p>
    <w:p w:rsidRPr="00C02100" w:rsidR="00330B26" w:rsidP="008B7E45" w:rsidRDefault="008B7E45" w14:paraId="19BEA1C0" w14:textId="74D31F13">
      <w:pPr>
        <w:pStyle w:val="ListParagraph"/>
        <w:ind w:left="360"/>
        <w:rPr>
          <w:i/>
          <w:iCs/>
        </w:rPr>
      </w:pPr>
      <w:r w:rsidRPr="008B7E45">
        <w:rPr>
          <w:rFonts w:cstheme="minorHAnsi"/>
        </w:rPr>
        <w:t>- If we consider EBITDA (Earnings Before Interest, Taxes, Depreciation, and Amortisation) and add back non-trading-related income, taxes, depreciation, amortisation, and FX gains, we find that EBITDA increased to £4,279,930 from £2,513,306 (7.7% v 6.4%).</w:t>
      </w:r>
      <w:r w:rsidRPr="00C02100" w:rsidR="00330B26">
        <w:rPr>
          <w:rFonts w:cstheme="minorHAnsi"/>
        </w:rPr>
        <w:br/>
      </w:r>
      <w:r w:rsidRPr="00C02100" w:rsidR="00330B26">
        <w:rPr>
          <w:rFonts w:cstheme="minorHAnsi"/>
        </w:rPr>
        <w:t xml:space="preserve">If you have any questions or would like to schedule a meeting to discuss more details, please feel </w:t>
      </w:r>
      <w:r w:rsidRPr="00C02100" w:rsidR="00330B26">
        <w:rPr>
          <w:rFonts w:cstheme="minorHAnsi"/>
        </w:rPr>
        <w:t xml:space="preserve">free to reply to this email. </w:t>
      </w:r>
      <w:r w:rsidRPr="00C02100" w:rsidR="00330B26">
        <w:rPr>
          <w:i/>
          <w:iCs/>
        </w:rPr>
        <w:br/>
      </w:r>
      <w:r w:rsidRPr="00C02100" w:rsidR="00330B26">
        <w:rPr>
          <w:i/>
          <w:iCs/>
        </w:rPr>
        <w:t>Best regards,</w:t>
      </w:r>
      <w:bookmarkEnd w:id="0"/>
    </w:p>
    <w:p w:rsidRPr="005F47A9" w:rsidR="005F47A9" w:rsidP="00330B26" w:rsidRDefault="005F47A9" w14:paraId="76ECD935" w14:textId="7C2DACBC"/>
    <w:sectPr w:rsidRPr="005F47A9" w:rsidR="005F47A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D31"/>
    <w:multiLevelType w:val="hybridMultilevel"/>
    <w:tmpl w:val="AD8EA8D6"/>
    <w:lvl w:ilvl="0" w:tplc="E56ABF12">
      <w:numFmt w:val="bullet"/>
      <w:lvlText w:val="✅"/>
      <w:lvlJc w:val="left"/>
      <w:pPr>
        <w:ind w:left="360" w:hanging="360"/>
      </w:pPr>
      <w:rPr>
        <w:rFonts w:hint="default" w:ascii="Segoe UI Emoji" w:hAnsi="Segoe UI Emoji" w:cs="Segoe UI Emoji" w:eastAsiaTheme="minorHAnsi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F722B9A"/>
    <w:multiLevelType w:val="hybridMultilevel"/>
    <w:tmpl w:val="FF8EA5AA"/>
    <w:lvl w:ilvl="0" w:tplc="62FA6C6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5023311">
    <w:abstractNumId w:val="0"/>
  </w:num>
  <w:num w:numId="2" w16cid:durableId="186308587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22"/>
    <w:rsid w:val="00000497"/>
    <w:rsid w:val="00062828"/>
    <w:rsid w:val="000E598F"/>
    <w:rsid w:val="00120439"/>
    <w:rsid w:val="00124D55"/>
    <w:rsid w:val="001C5D1E"/>
    <w:rsid w:val="001D152E"/>
    <w:rsid w:val="001E572B"/>
    <w:rsid w:val="002019BA"/>
    <w:rsid w:val="002107AA"/>
    <w:rsid w:val="00212AF6"/>
    <w:rsid w:val="00217799"/>
    <w:rsid w:val="00323D9E"/>
    <w:rsid w:val="00330B26"/>
    <w:rsid w:val="00333CCB"/>
    <w:rsid w:val="003A37F4"/>
    <w:rsid w:val="0042324D"/>
    <w:rsid w:val="00453C31"/>
    <w:rsid w:val="00473CDD"/>
    <w:rsid w:val="0049416B"/>
    <w:rsid w:val="004C26FE"/>
    <w:rsid w:val="004D4E03"/>
    <w:rsid w:val="004E1AF3"/>
    <w:rsid w:val="004E1C9B"/>
    <w:rsid w:val="005473D1"/>
    <w:rsid w:val="00547B96"/>
    <w:rsid w:val="00576B20"/>
    <w:rsid w:val="005C2FDD"/>
    <w:rsid w:val="005F47A9"/>
    <w:rsid w:val="00632AF9"/>
    <w:rsid w:val="006522C6"/>
    <w:rsid w:val="00732BCD"/>
    <w:rsid w:val="007511A7"/>
    <w:rsid w:val="00755819"/>
    <w:rsid w:val="0077277D"/>
    <w:rsid w:val="00775864"/>
    <w:rsid w:val="00790049"/>
    <w:rsid w:val="007913AE"/>
    <w:rsid w:val="007F5E87"/>
    <w:rsid w:val="00816A68"/>
    <w:rsid w:val="008807D2"/>
    <w:rsid w:val="008B7E45"/>
    <w:rsid w:val="008D492B"/>
    <w:rsid w:val="00912087"/>
    <w:rsid w:val="00974FA4"/>
    <w:rsid w:val="009A4E1D"/>
    <w:rsid w:val="009A5F63"/>
    <w:rsid w:val="00A2054D"/>
    <w:rsid w:val="00AC2C92"/>
    <w:rsid w:val="00AC6653"/>
    <w:rsid w:val="00B167A2"/>
    <w:rsid w:val="00B66F83"/>
    <w:rsid w:val="00BB1073"/>
    <w:rsid w:val="00C02100"/>
    <w:rsid w:val="00C8499B"/>
    <w:rsid w:val="00CE7C65"/>
    <w:rsid w:val="00CF211D"/>
    <w:rsid w:val="00D05857"/>
    <w:rsid w:val="00D84C94"/>
    <w:rsid w:val="00DD7344"/>
    <w:rsid w:val="00DE7FAB"/>
    <w:rsid w:val="00DF40EC"/>
    <w:rsid w:val="00E02F8D"/>
    <w:rsid w:val="00E5531E"/>
    <w:rsid w:val="00E944C4"/>
    <w:rsid w:val="00EC1713"/>
    <w:rsid w:val="00ED7293"/>
    <w:rsid w:val="00F01902"/>
    <w:rsid w:val="00F55C22"/>
    <w:rsid w:val="00FD351F"/>
    <w:rsid w:val="00FF6DE7"/>
    <w:rsid w:val="29DCB28F"/>
    <w:rsid w:val="2D6754B9"/>
    <w:rsid w:val="31E745AA"/>
    <w:rsid w:val="4D5E3B3A"/>
    <w:rsid w:val="5736DADB"/>
    <w:rsid w:val="5B1F5D4B"/>
    <w:rsid w:val="7E27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E9EB"/>
  <w15:chartTrackingRefBased/>
  <w15:docId w15:val="{FA81C2E0-1CCA-485E-8DDA-5769B60730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C2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C2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5C2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5C2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5C2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5C2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5C2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5C2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5C2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5C2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5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C2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5C2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C2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5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C2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5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C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C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C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hyperlink" Target="https://vimeo.com/823263178/bf237ce1b8?share=copy" TargetMode="External" Id="rId7" /><Relationship Type="http://schemas.openxmlformats.org/officeDocument/2006/relationships/hyperlink" Target="https://simulador-bonos.kngadvisors.co.uk/storage/biblioteca/woodville-august-2025-press-release_JQsyi.pdf" TargetMode="External" Id="rId25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vimeo.com/1007202475/197b0378bf?share=copy" TargetMode="External" Id="rId6" /><Relationship Type="http://schemas.openxmlformats.org/officeDocument/2006/relationships/hyperlink" Target="https://simulador-bonos.kngadvisors.co.uk/storage/biblioteca/actualizacin-de-la-cuenta-woodville-2024-agosto-de-2025_ndGoe.pdf" TargetMode="External" Id="rId24" /><Relationship Type="http://schemas.openxmlformats.org/officeDocument/2006/relationships/hyperlink" Target="https://www.youtube.com/watch?v=SWvZ8ug1ezw" TargetMode="External" Id="rId5" /><Relationship Type="http://schemas.openxmlformats.org/officeDocument/2006/relationships/hyperlink" Target="https://find-and-update.company-information.service.gov.uk/company/08093201/filing-history" TargetMode="External" Id="rId23" /><Relationship Type="http://schemas.openxmlformats.org/officeDocument/2006/relationships/webSettings" Target="webSettings.xml" Id="rId4" /><Relationship Type="http://schemas.openxmlformats.org/officeDocument/2006/relationships/hyperlink" Target="https://simulador-bonos.kngadvisors.co.uk/storage/biblioteca/woodville-consultants-limited-cuentas-consolidadas-final-27-de-diciembre-de-2023-firmado_4sYrm.pdf" TargetMode="External" Id="rId22" /><Relationship Type="http://schemas.openxmlformats.org/officeDocument/2006/relationships/theme" Target="theme/theme1.xml" Id="rId27" /><Relationship Type="http://schemas.openxmlformats.org/officeDocument/2006/relationships/hyperlink" Target="https://simulador-bonos.kngadvisors.co.uk/storage/biblioteca/presentation-woodville-july-2025_e8axg.pdf" TargetMode="External" Id="R67e5d2b2eea74750" /><Relationship Type="http://schemas.openxmlformats.org/officeDocument/2006/relationships/hyperlink" Target="https://simulador-bonos.kngadvisors.co.uk/storage/biblioteca/talisman-programme-woodville-consultants-feb-2025_KFHB5.pdf" TargetMode="External" Id="R4a8ee2f07dc14b5c" /><Relationship Type="http://schemas.openxmlformats.org/officeDocument/2006/relationships/hyperlink" Target="https://simulador-bonos.kngadvisors.co.uk/storage/biblioteca/investor-security_2BkYk.pdf" TargetMode="External" Id="R02a18ed0acad4142" /><Relationship Type="http://schemas.openxmlformats.org/officeDocument/2006/relationships/hyperlink" Target="https://simulador-bonos.kngadvisors.co.uk/storage/biblioteca/carta-de-neville-registrars-confirmando-el-pago-del-vencimiento-de-usd-ago-2024_opN7G.pdf" TargetMode="External" Id="R198ba378156341c5" /><Relationship Type="http://schemas.openxmlformats.org/officeDocument/2006/relationships/hyperlink" Target="https://simulador-bonos.kngadvisors.co.uk/storage/biblioteca/carta-de-neville-registrars-confirmando-el-pago-del-vencimiento-de-gbp-y-eur-ago-2024_6fppP.pdf" TargetMode="External" Id="R2ec14b48835a42d1" /><Relationship Type="http://schemas.openxmlformats.org/officeDocument/2006/relationships/hyperlink" Target="https://simulador-bonos.kngadvisors.com/storage/biblioteca/loan-book-diciembre-2025_BZZO5.pdf" TargetMode="External" Id="Rc65a054f1c4849e9" /><Relationship Type="http://schemas.openxmlformats.org/officeDocument/2006/relationships/hyperlink" Target="https://simulador-bonos.kngadvisors.co.uk/storage/biblioteca/next-wave-woodville-report-nov-2023_02s8D.pdf" TargetMode="External" Id="R9d30f0c8bf7e4de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Emberson</dc:creator>
  <keywords/>
  <dc:description/>
  <lastModifiedBy>América Ceja</lastModifiedBy>
  <revision>43</revision>
  <dcterms:created xsi:type="dcterms:W3CDTF">2025-04-20T16:31:00.0000000Z</dcterms:created>
  <dcterms:modified xsi:type="dcterms:W3CDTF">2026-01-20T16:40:55.6969610Z</dcterms:modified>
</coreProperties>
</file>