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C1B6" w14:textId="78ACB095" w:rsidR="00196363" w:rsidRPr="00E76E8A" w:rsidRDefault="00F04364" w:rsidP="00F04364">
      <w:pPr>
        <w:jc w:val="center"/>
        <w:rPr>
          <w:b/>
          <w:bCs/>
          <w:sz w:val="28"/>
          <w:szCs w:val="28"/>
          <w:lang w:val="en-US"/>
        </w:rPr>
      </w:pPr>
      <w:bookmarkStart w:id="0" w:name="_Hlk194595642"/>
      <w:r w:rsidRPr="00E76E8A">
        <w:rPr>
          <w:b/>
          <w:bCs/>
          <w:sz w:val="28"/>
          <w:szCs w:val="28"/>
          <w:lang w:val="en-US"/>
        </w:rPr>
        <w:t>PACK DE DUE DILIGENCE ESSENCIAL</w:t>
      </w:r>
      <w:r w:rsidR="00E76E8A" w:rsidRPr="00E76E8A">
        <w:rPr>
          <w:b/>
          <w:bCs/>
          <w:sz w:val="28"/>
          <w:szCs w:val="28"/>
          <w:lang w:val="en-US"/>
        </w:rPr>
        <w:t xml:space="preserve"> – WOODVILLE CO</w:t>
      </w:r>
      <w:r w:rsidR="00E76E8A">
        <w:rPr>
          <w:b/>
          <w:bCs/>
          <w:sz w:val="28"/>
          <w:szCs w:val="28"/>
          <w:lang w:val="en-US"/>
        </w:rPr>
        <w:t>NSULTANTS LTD</w:t>
      </w:r>
    </w:p>
    <w:p w14:paraId="78CAC337" w14:textId="77777777" w:rsidR="00E4143D" w:rsidRPr="00D2341F" w:rsidRDefault="00E4143D" w:rsidP="00F55C22">
      <w:pPr>
        <w:rPr>
          <w:b/>
          <w:bCs/>
          <w:lang w:val="en-US"/>
        </w:rPr>
      </w:pPr>
    </w:p>
    <w:p w14:paraId="7D77ADA3" w14:textId="0EA205F2" w:rsidR="009801C8" w:rsidRPr="009801C8" w:rsidRDefault="002845C3" w:rsidP="00F55C22">
      <w:pPr>
        <w:rPr>
          <w:b/>
          <w:bCs/>
          <w:lang w:val="es-MX"/>
        </w:rPr>
      </w:pPr>
      <w:r>
        <w:rPr>
          <w:b/>
          <w:bCs/>
          <w:lang w:val="es-MX"/>
        </w:rPr>
        <w:t xml:space="preserve">ASUNTO DEL CORREO: </w:t>
      </w:r>
      <w:r w:rsidR="009801C8" w:rsidRPr="009801C8">
        <w:rPr>
          <w:b/>
          <w:bCs/>
          <w:lang w:val="es-MX"/>
        </w:rPr>
        <w:t>Deuda Privada Británica Woodville Consultants (</w:t>
      </w:r>
      <w:r w:rsidR="009801C8">
        <w:rPr>
          <w:b/>
          <w:bCs/>
          <w:lang w:val="es-MX"/>
        </w:rPr>
        <w:t>10%pa -</w:t>
      </w:r>
      <w:r w:rsidR="009801C8" w:rsidRPr="009801C8">
        <w:rPr>
          <w:b/>
          <w:bCs/>
          <w:lang w:val="es-MX"/>
        </w:rPr>
        <w:t>15%pa)</w:t>
      </w:r>
    </w:p>
    <w:p w14:paraId="4F8F102E" w14:textId="75168EF8" w:rsidR="00F55C22" w:rsidRDefault="00DD7344" w:rsidP="00F55C22">
      <w:pPr>
        <w:rPr>
          <w:lang w:val="es-MX"/>
        </w:rPr>
      </w:pPr>
      <w:r>
        <w:rPr>
          <w:lang w:val="es-MX"/>
        </w:rPr>
        <w:t>Apreciado</w:t>
      </w:r>
      <w:r w:rsidR="00F55C22" w:rsidRPr="00F55C22">
        <w:rPr>
          <w:lang w:val="es-MX"/>
        </w:rPr>
        <w:t xml:space="preserve"> ,</w:t>
      </w:r>
    </w:p>
    <w:p w14:paraId="10EBEA19" w14:textId="13BFEA79" w:rsidR="009F5A56" w:rsidRPr="009F5A56" w:rsidRDefault="00F55C22" w:rsidP="009F5A56">
      <w:pPr>
        <w:rPr>
          <w:lang w:val="es-MX"/>
        </w:rPr>
      </w:pPr>
      <w:r>
        <w:rPr>
          <w:lang w:val="es-MX"/>
        </w:rPr>
        <w:t xml:space="preserve">En continuación a nuestra serie de ofertas de inversión de Deuda Privada Británica te presento una opción en el sector de financiación de casos de litigio del Reino Unido con </w:t>
      </w:r>
      <w:r>
        <w:rPr>
          <w:b/>
          <w:bCs/>
          <w:lang w:val="es-MX"/>
        </w:rPr>
        <w:t>Woodville Consultants Ltd</w:t>
      </w:r>
      <w:r w:rsidRPr="009F4948">
        <w:rPr>
          <w:b/>
          <w:bCs/>
          <w:lang w:val="es-MX"/>
        </w:rPr>
        <w:t>.</w:t>
      </w:r>
      <w:r>
        <w:rPr>
          <w:b/>
          <w:bCs/>
          <w:lang w:val="es-MX"/>
        </w:rPr>
        <w:t xml:space="preserve"> </w:t>
      </w:r>
      <w:r w:rsidR="009F5A56">
        <w:rPr>
          <w:b/>
          <w:bCs/>
          <w:lang w:val="es-MX"/>
        </w:rPr>
        <w:br/>
      </w:r>
      <w:r w:rsidR="009F5A56">
        <w:rPr>
          <w:b/>
          <w:bCs/>
          <w:lang w:val="es-MX"/>
        </w:rPr>
        <w:br/>
      </w:r>
      <w:r w:rsidR="009F5A56" w:rsidRPr="009F5A56">
        <w:rPr>
          <w:i/>
          <w:iCs/>
          <w:lang w:val="es-MX"/>
        </w:rPr>
        <w:t>El sector de financiación de casos de litigio en el UK se ha cuadruplicado durante los últimos 10 años y Swiss Re Research estima que tiene una capitalización de $2.7 billones entre los 15 financiadores de litigios en el UK.</w:t>
      </w:r>
      <w:r w:rsidR="009F5A56" w:rsidRPr="009F5A56">
        <w:rPr>
          <w:lang w:val="es-MX"/>
        </w:rPr>
        <w:t> </w:t>
      </w:r>
    </w:p>
    <w:p w14:paraId="4580772F" w14:textId="4492EF7C" w:rsidR="009F5A56" w:rsidRPr="009F5A56" w:rsidRDefault="009F5A56" w:rsidP="009F5A56">
      <w:pPr>
        <w:rPr>
          <w:lang w:val="es-MX"/>
        </w:rPr>
      </w:pPr>
      <w:r w:rsidRPr="009F5A56">
        <w:rPr>
          <w:lang w:val="es-MX"/>
        </w:rPr>
        <w:t> </w:t>
      </w:r>
      <w:r w:rsidRPr="009F5A56">
        <w:rPr>
          <w:lang w:val="es-MX"/>
        </w:rPr>
        <w:br/>
      </w:r>
      <w:r w:rsidRPr="009F5A56">
        <w:rPr>
          <w:b/>
          <w:bCs/>
          <w:lang w:val="es-MX"/>
        </w:rPr>
        <w:t>Inversiones desde $100,000 USD hasta $200 millones USD.</w:t>
      </w:r>
      <w:r w:rsidRPr="009F5A56">
        <w:rPr>
          <w:lang w:val="es-MX"/>
        </w:rPr>
        <w:t>  – un</w:t>
      </w:r>
      <w:r w:rsidR="008148BF">
        <w:rPr>
          <w:lang w:val="es-MX"/>
        </w:rPr>
        <w:t>a</w:t>
      </w:r>
      <w:r w:rsidRPr="009F5A56">
        <w:rPr>
          <w:lang w:val="es-MX"/>
        </w:rPr>
        <w:t xml:space="preserve"> clase activo no correlacionado con ningún otro activo ni los mercados financieros.</w:t>
      </w:r>
      <w:r w:rsidRPr="009F5A56">
        <w:rPr>
          <w:lang w:val="es-MX"/>
        </w:rPr>
        <w:br/>
      </w:r>
    </w:p>
    <w:p w14:paraId="6C691618" w14:textId="77777777" w:rsidR="009F5A56" w:rsidRPr="009F5A56" w:rsidRDefault="009F5A56" w:rsidP="009F5A56">
      <w:pPr>
        <w:rPr>
          <w:lang w:val="es-MX"/>
        </w:rPr>
      </w:pPr>
      <w:r w:rsidRPr="009F5A56">
        <w:rPr>
          <w:b/>
          <w:bCs/>
          <w:lang w:val="es-MX"/>
        </w:rPr>
        <w:t>Woodville</w:t>
      </w:r>
      <w:r w:rsidRPr="009F5A56">
        <w:rPr>
          <w:lang w:val="es-MX"/>
        </w:rPr>
        <w:t xml:space="preserve"> ha emitido un levantamiento de capital de £300 millones de libras esterlinas a través de sus notas de préstamo para financiar casos de litigio de </w:t>
      </w:r>
      <w:r w:rsidRPr="009F5A56">
        <w:rPr>
          <w:i/>
          <w:iCs/>
          <w:lang w:val="es-MX"/>
        </w:rPr>
        <w:t>After The Event</w:t>
      </w:r>
      <w:r w:rsidRPr="009F5A56">
        <w:rPr>
          <w:lang w:val="es-MX"/>
        </w:rPr>
        <w:t xml:space="preserve"> en el Reino Unido. </w:t>
      </w:r>
    </w:p>
    <w:p w14:paraId="168196A0" w14:textId="77777777" w:rsidR="009F5A56" w:rsidRPr="009F5A56" w:rsidRDefault="009F5A56" w:rsidP="009F5A56">
      <w:pPr>
        <w:rPr>
          <w:lang w:val="es-MX"/>
        </w:rPr>
      </w:pPr>
      <w:r w:rsidRPr="009F5A56">
        <w:rPr>
          <w:b/>
          <w:bCs/>
          <w:lang w:val="es-MX"/>
        </w:rPr>
        <w:br/>
      </w:r>
      <w:r w:rsidRPr="009F5A56">
        <w:rPr>
          <w:b/>
          <w:bCs/>
          <w:i/>
          <w:iCs/>
          <w:lang w:val="es-MX"/>
        </w:rPr>
        <w:t>Su serie de notas de préstamo ofrece tasas de interés fijas de entre el 10% y el 15% al año por plazos de 12 meses a 36 meses.</w:t>
      </w:r>
      <w:r w:rsidRPr="009F5A56">
        <w:rPr>
          <w:lang w:val="es-MX"/>
        </w:rPr>
        <w:t> </w:t>
      </w:r>
      <w:r w:rsidRPr="009F5A56">
        <w:rPr>
          <w:lang w:val="es-MX"/>
        </w:rPr>
        <w:br/>
      </w:r>
    </w:p>
    <w:p w14:paraId="047C2E01" w14:textId="7449FAAE" w:rsidR="009F5A56" w:rsidRPr="009F5A56" w:rsidRDefault="009F5A56" w:rsidP="009F5A56">
      <w:pPr>
        <w:rPr>
          <w:lang w:val="es-MX"/>
        </w:rPr>
      </w:pPr>
      <w:r w:rsidRPr="009F5A56">
        <w:rPr>
          <w:b/>
          <w:bCs/>
          <w:lang w:val="es-MX"/>
        </w:rPr>
        <w:t>Woodville</w:t>
      </w:r>
      <w:r w:rsidRPr="009F5A56">
        <w:rPr>
          <w:lang w:val="es-MX"/>
        </w:rPr>
        <w:t> ha estado financiando casos de litigio contra instituciones altamente capitalizadas en el Reino Unido desde 2012 y comenzó su serie de notas de préstamos en 2019 con alrededor de £600.000 libras esterlinas. Ahora administran un libro de préstamos (</w:t>
      </w:r>
      <w:r w:rsidR="00D74564">
        <w:rPr>
          <w:lang w:val="es-MX"/>
        </w:rPr>
        <w:t>Nov</w:t>
      </w:r>
      <w:r w:rsidRPr="009F5A56">
        <w:rPr>
          <w:lang w:val="es-MX"/>
        </w:rPr>
        <w:t xml:space="preserve"> de 2025) con más de </w:t>
      </w:r>
      <w:r w:rsidRPr="00CB4D84">
        <w:rPr>
          <w:b/>
          <w:bCs/>
          <w:lang w:val="es-MX"/>
        </w:rPr>
        <w:t>£19</w:t>
      </w:r>
      <w:r w:rsidR="00CB4D84" w:rsidRPr="00CB4D84">
        <w:rPr>
          <w:b/>
          <w:bCs/>
          <w:lang w:val="es-MX"/>
        </w:rPr>
        <w:t>8</w:t>
      </w:r>
      <w:r w:rsidRPr="00CB4D84">
        <w:rPr>
          <w:b/>
          <w:bCs/>
          <w:lang w:val="es-MX"/>
        </w:rPr>
        <w:t xml:space="preserve"> millones de libras esterlinas. </w:t>
      </w:r>
      <w:r w:rsidRPr="009F5A56">
        <w:rPr>
          <w:lang w:val="es-MX"/>
        </w:rPr>
        <w:t xml:space="preserve">Han financiado </w:t>
      </w:r>
      <w:r w:rsidR="00CB4D84">
        <w:rPr>
          <w:b/>
          <w:bCs/>
          <w:lang w:val="es-MX"/>
        </w:rPr>
        <w:t>428,000</w:t>
      </w:r>
      <w:r w:rsidRPr="009F5A56">
        <w:rPr>
          <w:b/>
          <w:bCs/>
          <w:lang w:val="es-MX"/>
        </w:rPr>
        <w:t xml:space="preserve"> reclamaciones</w:t>
      </w:r>
      <w:r w:rsidRPr="009F5A56">
        <w:rPr>
          <w:lang w:val="es-MX"/>
        </w:rPr>
        <w:t xml:space="preserve"> legales sin incumplimientos. En total, la serie de notas de préstamos ha recaudado más de </w:t>
      </w:r>
      <w:r w:rsidRPr="009F5A56">
        <w:rPr>
          <w:b/>
          <w:bCs/>
          <w:lang w:val="es-MX"/>
        </w:rPr>
        <w:t>£3</w:t>
      </w:r>
      <w:r w:rsidR="001309FC">
        <w:rPr>
          <w:b/>
          <w:bCs/>
          <w:lang w:val="es-MX"/>
        </w:rPr>
        <w:t>25</w:t>
      </w:r>
      <w:r w:rsidRPr="009F5A56">
        <w:rPr>
          <w:b/>
          <w:bCs/>
          <w:lang w:val="es-MX"/>
        </w:rPr>
        <w:t xml:space="preserve"> millones de libras esterlinas</w:t>
      </w:r>
      <w:r w:rsidRPr="009F5A56">
        <w:rPr>
          <w:lang w:val="es-MX"/>
        </w:rPr>
        <w:t xml:space="preserve"> y ha vuelto a los inversores en versiones superiores a </w:t>
      </w:r>
      <w:r w:rsidRPr="009F5A56">
        <w:rPr>
          <w:b/>
          <w:bCs/>
          <w:lang w:val="es-MX"/>
        </w:rPr>
        <w:t>£</w:t>
      </w:r>
      <w:r w:rsidR="001309FC">
        <w:rPr>
          <w:b/>
          <w:bCs/>
          <w:lang w:val="es-MX"/>
        </w:rPr>
        <w:t>210</w:t>
      </w:r>
      <w:r w:rsidRPr="009F5A56">
        <w:rPr>
          <w:b/>
          <w:bCs/>
          <w:lang w:val="es-MX"/>
        </w:rPr>
        <w:t xml:space="preserve"> millones de libras esterlinas</w:t>
      </w:r>
      <w:r w:rsidRPr="009F5A56">
        <w:rPr>
          <w:lang w:val="es-MX"/>
        </w:rPr>
        <w:t xml:space="preserve"> sin incumplimientos desde 2019. </w:t>
      </w:r>
      <w:r w:rsidRPr="009F5A56">
        <w:rPr>
          <w:lang w:val="es-MX"/>
        </w:rPr>
        <w:br/>
      </w:r>
    </w:p>
    <w:p w14:paraId="2AFD807B" w14:textId="77777777" w:rsidR="009F5A56" w:rsidRPr="009F5A56" w:rsidRDefault="009F5A56" w:rsidP="009F5A56">
      <w:pPr>
        <w:rPr>
          <w:lang w:val="es-MX"/>
        </w:rPr>
      </w:pPr>
      <w:r w:rsidRPr="009F5A56">
        <w:rPr>
          <w:lang w:val="es-MX"/>
        </w:rPr>
        <w:t>Desde 2019, su serie de notas de préstamos ha emitido 19 ISIN con 11 que han vencido con inversores de interés y capital rápido y 8 siguen activos. </w:t>
      </w:r>
    </w:p>
    <w:p w14:paraId="5A36B74A" w14:textId="77777777" w:rsidR="009F5A56" w:rsidRPr="009F5A56" w:rsidRDefault="009F5A56" w:rsidP="009F5A56">
      <w:pPr>
        <w:rPr>
          <w:lang w:val="es-MX"/>
        </w:rPr>
      </w:pPr>
      <w:r w:rsidRPr="009F5A56">
        <w:rPr>
          <w:lang w:val="es-MX"/>
        </w:rPr>
        <w:t>Woodville ofrece financiamiento asegurado a 15 bufetes de abogados regulados por SRA. Cada préstamo está asegurado con un seguro ATE (After The Event) para mitigar el riesgo de pérdida de capital en el evento de que el abogado pierde el caso de litigio. </w:t>
      </w:r>
      <w:r w:rsidRPr="009F5A56">
        <w:rPr>
          <w:lang w:val="es-MX"/>
        </w:rPr>
        <w:br/>
      </w:r>
    </w:p>
    <w:p w14:paraId="00226C1A" w14:textId="77777777" w:rsidR="009F5A56" w:rsidRPr="009F5A56" w:rsidRDefault="009F5A56" w:rsidP="009F5A56">
      <w:pPr>
        <w:rPr>
          <w:lang w:val="es-MX"/>
        </w:rPr>
      </w:pPr>
      <w:r w:rsidRPr="009F5A56">
        <w:rPr>
          <w:lang w:val="es-MX"/>
        </w:rPr>
        <w:t xml:space="preserve">Los inversores con más de $100.000 dólares también reciben una póliza de seguro adicional a su nombre llamada </w:t>
      </w:r>
      <w:r w:rsidRPr="009F5A56">
        <w:rPr>
          <w:b/>
          <w:bCs/>
          <w:lang w:val="es-MX"/>
        </w:rPr>
        <w:t>Bono de Protección de Capital</w:t>
      </w:r>
      <w:r w:rsidRPr="009F5A56">
        <w:rPr>
          <w:lang w:val="es-MX"/>
        </w:rPr>
        <w:t xml:space="preserve"> sin costos adicionales. Este es una capa adicional de protección y funciona de la misma manera que el seguro ATE, pero permite al inversor hacer cualquier reclamo directo con la aseguradora como Woodville en caso de que no se gane un caso de litigio. La aseguradora es americana y se llama Talisman Insurance. Esta reasegurada por Lloyds of London (nivel crediticio A de AM Best). </w:t>
      </w:r>
      <w:r w:rsidRPr="009F5A56">
        <w:rPr>
          <w:lang w:val="es-MX"/>
        </w:rPr>
        <w:br/>
        <w:t> </w:t>
      </w:r>
    </w:p>
    <w:p w14:paraId="4399C93B" w14:textId="77777777" w:rsidR="009F5A56" w:rsidRPr="009F5A56" w:rsidRDefault="009F5A56" w:rsidP="009F5A56">
      <w:pPr>
        <w:rPr>
          <w:lang w:val="es-MX"/>
        </w:rPr>
      </w:pPr>
      <w:r w:rsidRPr="009F5A56">
        <w:rPr>
          <w:b/>
          <w:bCs/>
          <w:u w:val="single"/>
          <w:lang w:val="es-MX"/>
        </w:rPr>
        <w:t>Videos cortos explicativos:</w:t>
      </w:r>
      <w:r w:rsidRPr="009F5A56">
        <w:rPr>
          <w:lang w:val="es-MX"/>
        </w:rPr>
        <w:t> </w:t>
      </w:r>
    </w:p>
    <w:p w14:paraId="7DC9C794"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4" w:tgtFrame="_blank" w:history="1">
        <w:r w:rsidRPr="009F5A56">
          <w:rPr>
            <w:rStyle w:val="Hyperlink"/>
            <w:b/>
            <w:bCs/>
            <w:lang w:val="es-MX"/>
          </w:rPr>
          <w:t>Woodville Consultants Ltd - Vídeo Explicativo</w:t>
        </w:r>
      </w:hyperlink>
      <w:r w:rsidRPr="009F5A56">
        <w:rPr>
          <w:b/>
          <w:bCs/>
          <w:lang w:val="es-MX"/>
        </w:rPr>
        <w:t xml:space="preserve"> </w:t>
      </w:r>
      <w:r w:rsidRPr="009F5A56">
        <w:rPr>
          <w:lang w:val="es-MX"/>
        </w:rPr>
        <w:t>– (2 mins) </w:t>
      </w:r>
    </w:p>
    <w:p w14:paraId="40FA7D9D"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5" w:tgtFrame="_blank" w:history="1">
        <w:r w:rsidRPr="009F5A56">
          <w:rPr>
            <w:rStyle w:val="Hyperlink"/>
            <w:b/>
            <w:bCs/>
            <w:lang w:val="es-MX"/>
          </w:rPr>
          <w:t xml:space="preserve">Woodville Consultants Ltd – Video que explica Como genera 10%pa o más para inversores </w:t>
        </w:r>
      </w:hyperlink>
      <w:r w:rsidRPr="009F5A56">
        <w:rPr>
          <w:lang w:val="es-MX"/>
        </w:rPr>
        <w:t>- (3 mins) </w:t>
      </w:r>
      <w:r w:rsidRPr="009F5A56">
        <w:rPr>
          <w:lang w:val="es-MX"/>
        </w:rPr>
        <w:br/>
      </w:r>
      <w:r w:rsidRPr="009F5A56">
        <w:rPr>
          <w:rFonts w:ascii="Segoe UI Emoji" w:hAnsi="Segoe UI Emoji" w:cs="Segoe UI Emoji"/>
          <w:b/>
          <w:bCs/>
          <w:lang w:val="es-MX"/>
        </w:rPr>
        <w:t>✅</w:t>
      </w:r>
      <w:r w:rsidRPr="009F5A56">
        <w:rPr>
          <w:b/>
          <w:bCs/>
          <w:lang w:val="es-MX"/>
        </w:rPr>
        <w:t xml:space="preserve"> </w:t>
      </w:r>
      <w:hyperlink r:id="rId6" w:tgtFrame="_blank" w:history="1">
        <w:r w:rsidRPr="009F5A56">
          <w:rPr>
            <w:rStyle w:val="Hyperlink"/>
            <w:b/>
            <w:bCs/>
            <w:lang w:val="es-MX"/>
          </w:rPr>
          <w:t>Video con las preguntas y respuestas frecuentes</w:t>
        </w:r>
      </w:hyperlink>
      <w:r w:rsidRPr="009F5A56">
        <w:rPr>
          <w:b/>
          <w:bCs/>
          <w:lang w:val="es-MX"/>
        </w:rPr>
        <w:t xml:space="preserve"> </w:t>
      </w:r>
      <w:r w:rsidRPr="009F5A56">
        <w:rPr>
          <w:lang w:val="es-MX"/>
        </w:rPr>
        <w:t>– (4 mins) </w:t>
      </w:r>
    </w:p>
    <w:p w14:paraId="64B1CBD2" w14:textId="77777777" w:rsidR="009F5A56" w:rsidRPr="009F5A56" w:rsidRDefault="009F5A56" w:rsidP="009F5A56">
      <w:pPr>
        <w:rPr>
          <w:lang w:val="es-MX"/>
        </w:rPr>
      </w:pPr>
      <w:r w:rsidRPr="009F5A56">
        <w:rPr>
          <w:lang w:val="es-MX"/>
        </w:rPr>
        <w:t> </w:t>
      </w:r>
      <w:r w:rsidRPr="009F5A56">
        <w:rPr>
          <w:lang w:val="es-MX"/>
        </w:rPr>
        <w:br/>
      </w:r>
      <w:r w:rsidRPr="009F5A56">
        <w:rPr>
          <w:rFonts w:ascii="Segoe UI Emoji" w:hAnsi="Segoe UI Emoji" w:cs="Segoe UI Emoji"/>
          <w:b/>
          <w:bCs/>
        </w:rPr>
        <w:t>📁</w:t>
      </w:r>
      <w:r w:rsidRPr="009F5A56">
        <w:rPr>
          <w:b/>
          <w:bCs/>
          <w:lang w:val="es-MX"/>
        </w:rPr>
        <w:t xml:space="preserve"> </w:t>
      </w:r>
      <w:r w:rsidRPr="00225C85">
        <w:rPr>
          <w:lang w:val="es-MX"/>
        </w:rPr>
        <w:t>Puedes descargar los archivos Due Diligence y actualizaciones de la empresa y el sector de financiación de casos de litigio con precedente desde los siguientes enlaces:</w:t>
      </w:r>
      <w:r w:rsidRPr="009F5A56">
        <w:rPr>
          <w:lang w:val="es-MX"/>
        </w:rPr>
        <w:t> </w:t>
      </w:r>
    </w:p>
    <w:p w14:paraId="13E524B0" w14:textId="77777777" w:rsidR="009F5A56" w:rsidRPr="009F5A56" w:rsidRDefault="009F5A56" w:rsidP="009F5A56">
      <w:hyperlink r:id="rId7" w:tgtFrame="_blank" w:history="1">
        <w:r w:rsidRPr="009F5A56">
          <w:rPr>
            <w:rStyle w:val="Hyperlink"/>
            <w:rFonts w:ascii="Segoe UI Emoji" w:hAnsi="Segoe UI Emoji" w:cs="Segoe UI Emoji"/>
            <w:b/>
            <w:bCs/>
          </w:rPr>
          <w:t>✅</w:t>
        </w:r>
        <w:r w:rsidRPr="009F5A56">
          <w:rPr>
            <w:rStyle w:val="Hyperlink"/>
            <w:b/>
            <w:bCs/>
          </w:rPr>
          <w:t xml:space="preserve"> Presentación Corporativa</w:t>
        </w:r>
      </w:hyperlink>
      <w:r w:rsidRPr="009F5A56">
        <w:t> </w:t>
      </w:r>
    </w:p>
    <w:p w14:paraId="58BD2EE8" w14:textId="77777777" w:rsidR="009F5A56" w:rsidRPr="00D2341F" w:rsidRDefault="009F5A56" w:rsidP="009F5A56">
      <w:pPr>
        <w:rPr>
          <w:lang w:val="en-US"/>
        </w:rPr>
      </w:pPr>
      <w:r w:rsidRPr="009F5A56">
        <w:rPr>
          <w:rFonts w:ascii="Segoe UI Emoji" w:hAnsi="Segoe UI Emoji" w:cs="Segoe UI Emoji"/>
          <w:b/>
          <w:bCs/>
        </w:rPr>
        <w:t>✅</w:t>
      </w:r>
      <w:r w:rsidRPr="009F5A56">
        <w:rPr>
          <w:b/>
          <w:bCs/>
        </w:rPr>
        <w:t xml:space="preserve"> </w:t>
      </w:r>
      <w:hyperlink r:id="rId8" w:tgtFrame="_blank" w:history="1">
        <w:r w:rsidRPr="009F5A56">
          <w:rPr>
            <w:rStyle w:val="Hyperlink"/>
            <w:b/>
            <w:bCs/>
          </w:rPr>
          <w:t>Factsheet ISIN (2027)</w:t>
        </w:r>
      </w:hyperlink>
      <w:r w:rsidRPr="009F5A56">
        <w:t> </w:t>
      </w:r>
    </w:p>
    <w:p w14:paraId="6CBD523F" w14:textId="77777777" w:rsidR="009F5A56" w:rsidRPr="009F5A56" w:rsidRDefault="009F5A56" w:rsidP="009F5A56">
      <w:r w:rsidRPr="009F5A56">
        <w:rPr>
          <w:rFonts w:ascii="Segoe UI Emoji" w:hAnsi="Segoe UI Emoji" w:cs="Segoe UI Emoji"/>
          <w:b/>
          <w:bCs/>
        </w:rPr>
        <w:t>✅</w:t>
      </w:r>
      <w:r w:rsidRPr="009F5A56">
        <w:rPr>
          <w:b/>
          <w:bCs/>
        </w:rPr>
        <w:t xml:space="preserve"> </w:t>
      </w:r>
      <w:hyperlink r:id="rId9" w:tgtFrame="_blank" w:history="1">
        <w:r w:rsidRPr="009F5A56">
          <w:rPr>
            <w:rStyle w:val="Hyperlink"/>
            <w:b/>
            <w:bCs/>
          </w:rPr>
          <w:t>Factsheet Direct Subscription 10,000</w:t>
        </w:r>
      </w:hyperlink>
      <w:r w:rsidRPr="009F5A56">
        <w:rPr>
          <w:b/>
          <w:bCs/>
          <w:lang w:val="en-US"/>
        </w:rPr>
        <w:t> </w:t>
      </w:r>
      <w:r w:rsidRPr="009F5A56">
        <w:t> </w:t>
      </w:r>
    </w:p>
    <w:p w14:paraId="36091E2B" w14:textId="77777777" w:rsidR="009F5A56" w:rsidRPr="009F5A56" w:rsidRDefault="009F5A56" w:rsidP="009F5A56">
      <w:r w:rsidRPr="009F5A56">
        <w:rPr>
          <w:rFonts w:ascii="Segoe UI Emoji" w:hAnsi="Segoe UI Emoji" w:cs="Segoe UI Emoji"/>
          <w:b/>
          <w:bCs/>
        </w:rPr>
        <w:t>✅</w:t>
      </w:r>
      <w:r w:rsidRPr="009F5A56">
        <w:rPr>
          <w:b/>
          <w:bCs/>
        </w:rPr>
        <w:t xml:space="preserve"> </w:t>
      </w:r>
      <w:hyperlink r:id="rId10" w:tgtFrame="_blank" w:history="1">
        <w:r w:rsidRPr="009F5A56">
          <w:rPr>
            <w:rStyle w:val="Hyperlink"/>
            <w:b/>
            <w:bCs/>
          </w:rPr>
          <w:t>Factsheet Direct Subscription 500,000</w:t>
        </w:r>
      </w:hyperlink>
      <w:r w:rsidRPr="009F5A56">
        <w:t xml:space="preserve">  </w:t>
      </w:r>
    </w:p>
    <w:p w14:paraId="16D72506" w14:textId="77777777" w:rsidR="009F5A56" w:rsidRPr="009F5A56" w:rsidRDefault="009F5A56" w:rsidP="009F5A56">
      <w:r w:rsidRPr="009F5A56">
        <w:rPr>
          <w:rFonts w:ascii="Segoe UI Emoji" w:hAnsi="Segoe UI Emoji" w:cs="Segoe UI Emoji"/>
          <w:b/>
          <w:bCs/>
        </w:rPr>
        <w:t>✅</w:t>
      </w:r>
      <w:r w:rsidRPr="009F5A56">
        <w:rPr>
          <w:b/>
          <w:bCs/>
        </w:rPr>
        <w:t xml:space="preserve"> </w:t>
      </w:r>
      <w:hyperlink r:id="rId11" w:tgtFrame="_blank" w:history="1">
        <w:r w:rsidRPr="009F5A56">
          <w:rPr>
            <w:rStyle w:val="Hyperlink"/>
            <w:b/>
            <w:bCs/>
          </w:rPr>
          <w:t>Factsheet Direct Subscription 1,000,000</w:t>
        </w:r>
      </w:hyperlink>
      <w:r w:rsidRPr="009F5A56">
        <w:t xml:space="preserve">  </w:t>
      </w:r>
    </w:p>
    <w:p w14:paraId="56B42302"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12" w:tgtFrame="_blank" w:history="1">
        <w:r w:rsidRPr="009F5A56">
          <w:rPr>
            <w:rStyle w:val="Hyperlink"/>
            <w:b/>
            <w:bCs/>
            <w:lang w:val="es-MX"/>
          </w:rPr>
          <w:t>Investment Memorandum Woodville ISIN 2027</w:t>
        </w:r>
      </w:hyperlink>
      <w:r w:rsidRPr="009F5A56">
        <w:rPr>
          <w:lang w:val="es-MX"/>
        </w:rPr>
        <w:t> </w:t>
      </w:r>
    </w:p>
    <w:p w14:paraId="57AFD6AC"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13" w:tgtFrame="_blank" w:history="1">
        <w:r w:rsidRPr="009F5A56">
          <w:rPr>
            <w:rStyle w:val="Hyperlink"/>
            <w:b/>
            <w:bCs/>
            <w:lang w:val="es-MX"/>
          </w:rPr>
          <w:t>Talisman Insurance Explanation</w:t>
        </w:r>
      </w:hyperlink>
      <w:r w:rsidRPr="009F5A56">
        <w:rPr>
          <w:b/>
          <w:bCs/>
          <w:lang w:val="es-MX"/>
        </w:rPr>
        <w:t xml:space="preserve"> </w:t>
      </w:r>
      <w:r w:rsidRPr="009F5A56">
        <w:rPr>
          <w:i/>
          <w:iCs/>
          <w:lang w:val="es-MX"/>
        </w:rPr>
        <w:t xml:space="preserve">(para entender bien el seguro ATE y </w:t>
      </w:r>
      <w:r w:rsidRPr="009F5A56">
        <w:rPr>
          <w:b/>
          <w:bCs/>
          <w:i/>
          <w:iCs/>
          <w:lang w:val="es-MX"/>
        </w:rPr>
        <w:t>Capital Protection Bond</w:t>
      </w:r>
      <w:r w:rsidRPr="009F5A56">
        <w:rPr>
          <w:i/>
          <w:iCs/>
          <w:lang w:val="es-MX"/>
        </w:rPr>
        <w:t>)</w:t>
      </w:r>
      <w:r w:rsidRPr="009F5A56">
        <w:rPr>
          <w:lang w:val="es-MX"/>
        </w:rPr>
        <w:t> </w:t>
      </w:r>
    </w:p>
    <w:p w14:paraId="0FCB6140"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14" w:tgtFrame="_blank" w:history="1">
        <w:r w:rsidRPr="009F5A56">
          <w:rPr>
            <w:rStyle w:val="Hyperlink"/>
            <w:b/>
            <w:bCs/>
            <w:lang w:val="es-MX"/>
          </w:rPr>
          <w:t>Investor Security Doc</w:t>
        </w:r>
      </w:hyperlink>
      <w:r w:rsidRPr="009F5A56">
        <w:rPr>
          <w:b/>
          <w:bCs/>
          <w:lang w:val="es-MX"/>
        </w:rPr>
        <w:t xml:space="preserve"> </w:t>
      </w:r>
      <w:r w:rsidRPr="009F5A56">
        <w:rPr>
          <w:i/>
          <w:iCs/>
          <w:lang w:val="es-MX"/>
        </w:rPr>
        <w:t>(para entender todos los riesgos y como Woodville los mitiga)</w:t>
      </w:r>
      <w:r w:rsidRPr="009F5A56">
        <w:rPr>
          <w:lang w:val="es-MX"/>
        </w:rPr>
        <w:t> </w:t>
      </w:r>
    </w:p>
    <w:p w14:paraId="085E82C9"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15" w:tgtFrame="_blank" w:history="1">
        <w:r w:rsidRPr="009F5A56">
          <w:rPr>
            <w:rStyle w:val="Hyperlink"/>
            <w:b/>
            <w:bCs/>
            <w:lang w:val="es-MX"/>
          </w:rPr>
          <w:t>Latest Debt Satisfaction Letter from Nevill Registrars USD</w:t>
        </w:r>
      </w:hyperlink>
      <w:r w:rsidRPr="009F5A56">
        <w:rPr>
          <w:b/>
          <w:bCs/>
          <w:lang w:val="es-MX"/>
        </w:rPr>
        <w:t xml:space="preserve"> </w:t>
      </w:r>
      <w:r w:rsidRPr="009F5A56">
        <w:rPr>
          <w:i/>
          <w:iCs/>
          <w:lang w:val="es-MX"/>
        </w:rPr>
        <w:t>(2024) (comprueba satisfacción de todas las deudas con ISIN)</w:t>
      </w:r>
      <w:r w:rsidRPr="009F5A56">
        <w:rPr>
          <w:lang w:val="es-MX"/>
        </w:rPr>
        <w:t> </w:t>
      </w:r>
    </w:p>
    <w:p w14:paraId="2CCC04C7"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16" w:tgtFrame="_blank" w:history="1">
        <w:r w:rsidRPr="009F5A56">
          <w:rPr>
            <w:rStyle w:val="Hyperlink"/>
            <w:b/>
            <w:bCs/>
            <w:lang w:val="es-MX"/>
          </w:rPr>
          <w:t>Latest Debt Satisfaction Letter from Nevill Registrars EUR &amp; GBP</w:t>
        </w:r>
      </w:hyperlink>
      <w:r w:rsidRPr="009F5A56">
        <w:rPr>
          <w:b/>
          <w:bCs/>
          <w:lang w:val="es-MX"/>
        </w:rPr>
        <w:t xml:space="preserve"> </w:t>
      </w:r>
      <w:r w:rsidRPr="009F5A56">
        <w:rPr>
          <w:i/>
          <w:iCs/>
          <w:lang w:val="es-MX"/>
        </w:rPr>
        <w:t>(2024 - comprueba satisfacción de todas las deudas con ISIN)</w:t>
      </w:r>
      <w:r w:rsidRPr="009F5A56">
        <w:rPr>
          <w:lang w:val="es-MX"/>
        </w:rPr>
        <w:t>                                                                                   </w:t>
      </w:r>
    </w:p>
    <w:p w14:paraId="29E02321" w14:textId="5E8856D9" w:rsidR="009F5A56" w:rsidRPr="009F5A56" w:rsidRDefault="009F5A56" w:rsidP="009F5A56">
      <w:pPr>
        <w:rPr>
          <w:lang w:val="es-MX"/>
        </w:rPr>
      </w:pPr>
      <w:r w:rsidRPr="1A088FE2">
        <w:rPr>
          <w:rFonts w:ascii="Segoe UI Emoji" w:hAnsi="Segoe UI Emoji" w:cs="Segoe UI Emoji"/>
          <w:b/>
          <w:bCs/>
          <w:lang w:val="es-MX"/>
        </w:rPr>
        <w:t>✅</w:t>
      </w:r>
      <w:r w:rsidRPr="1A088FE2">
        <w:rPr>
          <w:b/>
          <w:bCs/>
          <w:lang w:val="es-MX"/>
        </w:rPr>
        <w:t xml:space="preserve"> </w:t>
      </w:r>
      <w:hyperlink r:id="rId17">
        <w:r w:rsidRPr="1A088FE2">
          <w:rPr>
            <w:rStyle w:val="Hyperlink"/>
            <w:b/>
            <w:bCs/>
            <w:lang w:val="es-MX"/>
          </w:rPr>
          <w:t xml:space="preserve">Loan Book </w:t>
        </w:r>
        <w:r w:rsidR="15FB8750" w:rsidRPr="1A088FE2">
          <w:rPr>
            <w:rStyle w:val="Hyperlink"/>
            <w:b/>
            <w:bCs/>
            <w:lang w:val="es-MX"/>
          </w:rPr>
          <w:t xml:space="preserve">Dic </w:t>
        </w:r>
        <w:r w:rsidR="00A51CA8" w:rsidRPr="1A088FE2">
          <w:rPr>
            <w:rStyle w:val="Hyperlink"/>
            <w:b/>
            <w:bCs/>
            <w:lang w:val="es-MX"/>
          </w:rPr>
          <w:t xml:space="preserve"> </w:t>
        </w:r>
        <w:r w:rsidRPr="1A088FE2">
          <w:rPr>
            <w:rStyle w:val="Hyperlink"/>
            <w:b/>
            <w:bCs/>
            <w:lang w:val="es-MX"/>
          </w:rPr>
          <w:t>2025</w:t>
        </w:r>
      </w:hyperlink>
      <w:r w:rsidRPr="1A088FE2">
        <w:rPr>
          <w:b/>
          <w:bCs/>
          <w:lang w:val="es-MX"/>
        </w:rPr>
        <w:t xml:space="preserve"> </w:t>
      </w:r>
      <w:r w:rsidRPr="1A088FE2">
        <w:rPr>
          <w:i/>
          <w:iCs/>
          <w:lang w:val="es-MX"/>
        </w:rPr>
        <w:t>(una hoja con el resumen con los 5 tipos de litigio que financian y cuantos préstamos y la suma en cada uno)</w:t>
      </w:r>
      <w:r w:rsidRPr="1A088FE2">
        <w:rPr>
          <w:lang w:val="es-MX"/>
        </w:rPr>
        <w:t> </w:t>
      </w:r>
    </w:p>
    <w:p w14:paraId="0CE56D33"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18" w:tgtFrame="_blank" w:history="1">
        <w:r w:rsidRPr="009F5A56">
          <w:rPr>
            <w:rStyle w:val="Hyperlink"/>
            <w:b/>
            <w:bCs/>
            <w:lang w:val="es-MX"/>
          </w:rPr>
          <w:t>Woodville Opinión Legal 2025</w:t>
        </w:r>
      </w:hyperlink>
      <w:r w:rsidRPr="009F5A56">
        <w:rPr>
          <w:lang w:val="es-MX"/>
        </w:rPr>
        <w:t xml:space="preserve"> – </w:t>
      </w:r>
      <w:r w:rsidRPr="009F5A56">
        <w:rPr>
          <w:i/>
          <w:iCs/>
          <w:lang w:val="es-MX"/>
        </w:rPr>
        <w:t>Opinión de una asesor legal que usa Woodville sobre su empresa y el sector de financiación de casos de litigio en el UK</w:t>
      </w:r>
      <w:r w:rsidRPr="009F5A56">
        <w:rPr>
          <w:lang w:val="es-MX"/>
        </w:rPr>
        <w:t> </w:t>
      </w:r>
    </w:p>
    <w:p w14:paraId="589AF460"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19" w:tgtFrame="_blank" w:history="1">
        <w:r w:rsidRPr="009F5A56">
          <w:rPr>
            <w:rStyle w:val="Hyperlink"/>
            <w:b/>
            <w:bCs/>
            <w:lang w:val="es-MX"/>
          </w:rPr>
          <w:t>Next Wave Credit Rating BB+ (2023)</w:t>
        </w:r>
      </w:hyperlink>
      <w:r w:rsidRPr="009F5A56">
        <w:rPr>
          <w:lang w:val="es-MX"/>
        </w:rPr>
        <w:t xml:space="preserve"> </w:t>
      </w:r>
      <w:r w:rsidRPr="009F5A56">
        <w:rPr>
          <w:i/>
          <w:iCs/>
          <w:lang w:val="es-MX"/>
        </w:rPr>
        <w:t>– Agencia de crediticio y su auditoria de Woodville ANTES de que Woodville empleaba un auditor para sus estados financieros</w:t>
      </w:r>
      <w:r w:rsidRPr="009F5A56">
        <w:rPr>
          <w:lang w:val="es-MX"/>
        </w:rPr>
        <w:t> </w:t>
      </w:r>
    </w:p>
    <w:p w14:paraId="0C61DDB7" w14:textId="0CBB5D48" w:rsidR="00F90673" w:rsidRDefault="009F5A56" w:rsidP="00F90673">
      <w:pPr>
        <w:rPr>
          <w:i/>
          <w:iCs/>
          <w:lang w:val="es-MX"/>
        </w:rPr>
      </w:pPr>
      <w:r w:rsidRPr="3323EB5E">
        <w:rPr>
          <w:rFonts w:ascii="Segoe UI Emoji" w:hAnsi="Segoe UI Emoji" w:cs="Segoe UI Emoji"/>
          <w:b/>
          <w:bCs/>
          <w:lang w:val="es-MX"/>
        </w:rPr>
        <w:t>✅</w:t>
      </w:r>
      <w:r w:rsidRPr="3323EB5E">
        <w:rPr>
          <w:b/>
          <w:bCs/>
          <w:lang w:val="es-MX"/>
        </w:rPr>
        <w:t xml:space="preserve"> </w:t>
      </w:r>
      <w:hyperlink r:id="rId20">
        <w:r w:rsidRPr="3323EB5E">
          <w:rPr>
            <w:rStyle w:val="Hyperlink"/>
            <w:b/>
            <w:bCs/>
            <w:lang w:val="es-MX"/>
          </w:rPr>
          <w:t>Estado Financiero 202</w:t>
        </w:r>
        <w:r w:rsidR="7623C958" w:rsidRPr="3323EB5E">
          <w:rPr>
            <w:rStyle w:val="Hyperlink"/>
            <w:b/>
            <w:bCs/>
            <w:lang w:val="es-MX"/>
          </w:rPr>
          <w:t>4</w:t>
        </w:r>
        <w:r w:rsidRPr="3323EB5E">
          <w:rPr>
            <w:rStyle w:val="Hyperlink"/>
            <w:b/>
            <w:bCs/>
            <w:lang w:val="es-MX"/>
          </w:rPr>
          <w:t xml:space="preserve"> Auditados por Xeinadin Audit Limited</w:t>
        </w:r>
      </w:hyperlink>
      <w:r w:rsidRPr="3323EB5E">
        <w:rPr>
          <w:lang w:val="es-MX"/>
        </w:rPr>
        <w:t xml:space="preserve"> </w:t>
      </w:r>
      <w:r w:rsidRPr="3323EB5E">
        <w:rPr>
          <w:i/>
          <w:iCs/>
          <w:lang w:val="es-MX"/>
        </w:rPr>
        <w:t xml:space="preserve">– </w:t>
      </w:r>
      <w:r w:rsidR="00F90673">
        <w:rPr>
          <w:rFonts w:ascii="Segoe UI Emoji" w:hAnsi="Segoe UI Emoji" w:cs="Segoe UI Emoji"/>
          <w:i/>
          <w:iCs/>
          <w:lang w:val="es-MX"/>
        </w:rPr>
        <w:t>Demuestra c</w:t>
      </w:r>
      <w:r w:rsidR="00F90673" w:rsidRPr="00F90673">
        <w:rPr>
          <w:i/>
          <w:iCs/>
          <w:lang w:val="es-MX"/>
        </w:rPr>
        <w:t>recimiento de los ingresos del 42%, pasando de £39,401,330 a £55,999,879 impulsado por un aumento de la cartera de préstamos de la empresa.</w:t>
      </w:r>
      <w:r w:rsidR="00F90673">
        <w:rPr>
          <w:i/>
          <w:iCs/>
          <w:lang w:val="es-MX"/>
        </w:rPr>
        <w:t xml:space="preserve"> </w:t>
      </w:r>
      <w:r w:rsidR="00F90673" w:rsidRPr="00F90673">
        <w:rPr>
          <w:i/>
          <w:iCs/>
          <w:lang w:val="es-MX"/>
        </w:rPr>
        <w:t>Beneficio operativo de £4,334,200 en 2024. Cuatro años de beneficios operativos.</w:t>
      </w:r>
      <w:r w:rsidR="00F90673">
        <w:rPr>
          <w:i/>
          <w:iCs/>
          <w:lang w:val="es-MX"/>
        </w:rPr>
        <w:t xml:space="preserve"> </w:t>
      </w:r>
      <w:r w:rsidR="00F90673" w:rsidRPr="00F90673">
        <w:rPr>
          <w:i/>
          <w:iCs/>
          <w:lang w:val="es-MX"/>
        </w:rPr>
        <w:t>Si consideramos el EBITDA (beneficios antes de intereses, impuestos, depreciación y amortización) y añadimos los ingresos no relacionados con la actividad comercial, los impuestos, la depreciación, la amortización y las ganancias por cambio de divisas, vemos que el EBITDA aumentó de £2,513,306 a £4,279,930</w:t>
      </w:r>
      <w:r w:rsidR="007C280F">
        <w:rPr>
          <w:i/>
          <w:iCs/>
          <w:lang w:val="es-MX"/>
        </w:rPr>
        <w:t xml:space="preserve">. Ver archivos en </w:t>
      </w:r>
      <w:hyperlink r:id="rId21" w:history="1">
        <w:r w:rsidR="007C280F" w:rsidRPr="007C280F">
          <w:rPr>
            <w:rStyle w:val="Hyperlink"/>
            <w:i/>
            <w:iCs/>
            <w:lang w:val="es-MX"/>
          </w:rPr>
          <w:t>Companies House</w:t>
        </w:r>
      </w:hyperlink>
    </w:p>
    <w:p w14:paraId="028920BE" w14:textId="688D361D" w:rsidR="009F5A56" w:rsidRPr="009F5A56" w:rsidRDefault="009F5A56" w:rsidP="00F90673">
      <w:pPr>
        <w:rPr>
          <w:lang w:val="es-MX"/>
        </w:rPr>
      </w:pPr>
      <w:r w:rsidRPr="009F5A56">
        <w:rPr>
          <w:rFonts w:ascii="Segoe UI Emoji" w:hAnsi="Segoe UI Emoji" w:cs="Segoe UI Emoji"/>
          <w:b/>
          <w:bCs/>
          <w:lang w:val="es-MX"/>
        </w:rPr>
        <w:t>✅</w:t>
      </w:r>
      <w:r w:rsidRPr="009F5A56">
        <w:rPr>
          <w:b/>
          <w:bCs/>
          <w:lang w:val="es-MX"/>
        </w:rPr>
        <w:t xml:space="preserve"> </w:t>
      </w:r>
      <w:hyperlink r:id="rId22" w:tgtFrame="_blank" w:history="1">
        <w:r w:rsidRPr="009F5A56">
          <w:rPr>
            <w:rStyle w:val="Hyperlink"/>
            <w:b/>
            <w:bCs/>
            <w:lang w:val="es-MX"/>
          </w:rPr>
          <w:t>Carta del director de Woodville (agosto de 2025)</w:t>
        </w:r>
      </w:hyperlink>
      <w:r w:rsidRPr="009F5A56">
        <w:rPr>
          <w:b/>
          <w:bCs/>
          <w:lang w:val="es-MX"/>
        </w:rPr>
        <w:t xml:space="preserve"> </w:t>
      </w:r>
      <w:r w:rsidRPr="009F5A56">
        <w:rPr>
          <w:i/>
          <w:iCs/>
          <w:lang w:val="es-MX"/>
        </w:rPr>
        <w:t>confirmando una posición financiera saludable a mediados de 2025 y que los estados financieros auditados de 2024 estarán listos en septiembre de 2025.</w:t>
      </w:r>
      <w:r w:rsidRPr="009F5A56">
        <w:rPr>
          <w:lang w:val="es-MX"/>
        </w:rPr>
        <w:t> </w:t>
      </w:r>
    </w:p>
    <w:p w14:paraId="61B9D1BE" w14:textId="77777777" w:rsidR="009F5A56" w:rsidRPr="009F5A56" w:rsidRDefault="009F5A56" w:rsidP="009F5A56">
      <w:pPr>
        <w:rPr>
          <w:lang w:val="es-MX"/>
        </w:rPr>
      </w:pPr>
      <w:r w:rsidRPr="009F5A56">
        <w:rPr>
          <w:rFonts w:ascii="Segoe UI Emoji" w:hAnsi="Segoe UI Emoji" w:cs="Segoe UI Emoji"/>
          <w:b/>
          <w:bCs/>
          <w:lang w:val="es-MX"/>
        </w:rPr>
        <w:t>✅</w:t>
      </w:r>
      <w:r w:rsidRPr="009F5A56">
        <w:rPr>
          <w:b/>
          <w:bCs/>
          <w:lang w:val="es-MX"/>
        </w:rPr>
        <w:t xml:space="preserve"> </w:t>
      </w:r>
      <w:hyperlink r:id="rId23" w:tgtFrame="_blank" w:history="1">
        <w:r w:rsidRPr="009F5A56">
          <w:rPr>
            <w:rStyle w:val="Hyperlink"/>
            <w:b/>
            <w:bCs/>
            <w:lang w:val="es-MX"/>
          </w:rPr>
          <w:t>Opinión de Woodville Consultants sobre el Supreme Court Ruling PCP Car Finance Claims (Agosto 2025)</w:t>
        </w:r>
      </w:hyperlink>
      <w:r w:rsidRPr="009F5A56">
        <w:rPr>
          <w:lang w:val="es-MX"/>
        </w:rPr>
        <w:t xml:space="preserve"> –</w:t>
      </w:r>
      <w:r w:rsidRPr="009F5A56">
        <w:rPr>
          <w:i/>
          <w:iCs/>
          <w:lang w:val="es-MX"/>
        </w:rPr>
        <w:t xml:space="preserve"> La FCA, el plan de reparación para DCA y DCA/reclamos fijos es oficial y cree que los bancos tendrán que devolver entre £9 mil millones y £18 mil millones a los consumidores de automóviles.</w:t>
      </w:r>
      <w:r w:rsidRPr="009F5A56">
        <w:rPr>
          <w:lang w:val="es-MX"/>
        </w:rPr>
        <w:t> </w:t>
      </w:r>
      <w:r w:rsidRPr="009F5A56">
        <w:rPr>
          <w:lang w:val="es-MX"/>
        </w:rPr>
        <w:br/>
        <w:t> </w:t>
      </w:r>
    </w:p>
    <w:p w14:paraId="30B0531F" w14:textId="77777777" w:rsidR="009F5A56" w:rsidRPr="009F5A56" w:rsidRDefault="009F5A56" w:rsidP="009F5A56">
      <w:pPr>
        <w:rPr>
          <w:lang w:val="es-MX"/>
        </w:rPr>
      </w:pPr>
      <w:r w:rsidRPr="009F5A56">
        <w:rPr>
          <w:lang w:val="es-MX"/>
        </w:rPr>
        <w:t>Si tienes alguna pregunta o deseas agendar una reunión para discutir más detalles, no dudes en responder a este correo. </w:t>
      </w:r>
    </w:p>
    <w:p w14:paraId="7771A8B8" w14:textId="77777777" w:rsidR="009F5A56" w:rsidRPr="009F5A56" w:rsidRDefault="009F5A56" w:rsidP="009F5A56">
      <w:pPr>
        <w:rPr>
          <w:lang w:val="es-MX"/>
        </w:rPr>
      </w:pPr>
      <w:r w:rsidRPr="009F5A56">
        <w:rPr>
          <w:lang w:val="es-MX"/>
        </w:rPr>
        <w:t> </w:t>
      </w:r>
    </w:p>
    <w:p w14:paraId="5E62A097" w14:textId="77777777" w:rsidR="009F5A56" w:rsidRPr="009F5A56" w:rsidRDefault="009F5A56" w:rsidP="009F5A56">
      <w:pPr>
        <w:rPr>
          <w:lang w:val="es-MX"/>
        </w:rPr>
      </w:pPr>
      <w:r w:rsidRPr="009F5A56">
        <w:t>Saludos cordiales,</w:t>
      </w:r>
      <w:r w:rsidRPr="009F5A56">
        <w:rPr>
          <w:lang w:val="es-MX"/>
        </w:rPr>
        <w:t> </w:t>
      </w:r>
      <w:bookmarkEnd w:id="0"/>
    </w:p>
    <w:sectPr w:rsidR="009F5A56" w:rsidRPr="009F5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22"/>
    <w:rsid w:val="00000497"/>
    <w:rsid w:val="0001555B"/>
    <w:rsid w:val="000F2BB7"/>
    <w:rsid w:val="000F69BC"/>
    <w:rsid w:val="00115427"/>
    <w:rsid w:val="001309FC"/>
    <w:rsid w:val="00193F2C"/>
    <w:rsid w:val="00196363"/>
    <w:rsid w:val="001C5D1E"/>
    <w:rsid w:val="001D366C"/>
    <w:rsid w:val="001E5BB0"/>
    <w:rsid w:val="00212AF6"/>
    <w:rsid w:val="00217799"/>
    <w:rsid w:val="00225C85"/>
    <w:rsid w:val="00242DF7"/>
    <w:rsid w:val="002845C3"/>
    <w:rsid w:val="002D634D"/>
    <w:rsid w:val="00345F94"/>
    <w:rsid w:val="00361218"/>
    <w:rsid w:val="003644E9"/>
    <w:rsid w:val="003858C8"/>
    <w:rsid w:val="00466F13"/>
    <w:rsid w:val="0049503A"/>
    <w:rsid w:val="004D137C"/>
    <w:rsid w:val="004D4E03"/>
    <w:rsid w:val="00511CAE"/>
    <w:rsid w:val="005473D1"/>
    <w:rsid w:val="005917EE"/>
    <w:rsid w:val="005A7C48"/>
    <w:rsid w:val="005D2A09"/>
    <w:rsid w:val="00632AF9"/>
    <w:rsid w:val="00646051"/>
    <w:rsid w:val="006F5EA4"/>
    <w:rsid w:val="007511A7"/>
    <w:rsid w:val="00755819"/>
    <w:rsid w:val="00760427"/>
    <w:rsid w:val="007C280F"/>
    <w:rsid w:val="007E4675"/>
    <w:rsid w:val="007F5E87"/>
    <w:rsid w:val="008148BF"/>
    <w:rsid w:val="008807D2"/>
    <w:rsid w:val="00900A50"/>
    <w:rsid w:val="00912963"/>
    <w:rsid w:val="009801C8"/>
    <w:rsid w:val="00983A3B"/>
    <w:rsid w:val="009A6014"/>
    <w:rsid w:val="009E573C"/>
    <w:rsid w:val="009F5A56"/>
    <w:rsid w:val="00A417BD"/>
    <w:rsid w:val="00A51CA8"/>
    <w:rsid w:val="00A54BAF"/>
    <w:rsid w:val="00A67EDD"/>
    <w:rsid w:val="00AD5C78"/>
    <w:rsid w:val="00B755C8"/>
    <w:rsid w:val="00BC35D6"/>
    <w:rsid w:val="00BF5046"/>
    <w:rsid w:val="00CB4D84"/>
    <w:rsid w:val="00CE747E"/>
    <w:rsid w:val="00D07DB4"/>
    <w:rsid w:val="00D2341F"/>
    <w:rsid w:val="00D56F9A"/>
    <w:rsid w:val="00D74564"/>
    <w:rsid w:val="00DD7344"/>
    <w:rsid w:val="00E24A06"/>
    <w:rsid w:val="00E4143D"/>
    <w:rsid w:val="00E5531E"/>
    <w:rsid w:val="00E76E8A"/>
    <w:rsid w:val="00E776EA"/>
    <w:rsid w:val="00EA44FC"/>
    <w:rsid w:val="00F04364"/>
    <w:rsid w:val="00F55C22"/>
    <w:rsid w:val="00F87771"/>
    <w:rsid w:val="00F90673"/>
    <w:rsid w:val="00FD2304"/>
    <w:rsid w:val="00FD351F"/>
    <w:rsid w:val="13EBECA7"/>
    <w:rsid w:val="15FB8750"/>
    <w:rsid w:val="1A088FE2"/>
    <w:rsid w:val="231D29DB"/>
    <w:rsid w:val="3323EB5E"/>
    <w:rsid w:val="757963BC"/>
    <w:rsid w:val="7623C9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9BE9EB"/>
  <w15:chartTrackingRefBased/>
  <w15:docId w15:val="{C7CE3D7F-7E86-47E7-9D29-C810E17C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C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C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C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C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C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C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C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C22"/>
    <w:rPr>
      <w:rFonts w:eastAsiaTheme="majorEastAsia" w:cstheme="majorBidi"/>
      <w:color w:val="272727" w:themeColor="text1" w:themeTint="D8"/>
    </w:rPr>
  </w:style>
  <w:style w:type="paragraph" w:styleId="Title">
    <w:name w:val="Title"/>
    <w:basedOn w:val="Normal"/>
    <w:next w:val="Normal"/>
    <w:link w:val="TitleChar"/>
    <w:uiPriority w:val="10"/>
    <w:qFormat/>
    <w:rsid w:val="00F55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C22"/>
    <w:pPr>
      <w:spacing w:before="160"/>
      <w:jc w:val="center"/>
    </w:pPr>
    <w:rPr>
      <w:i/>
      <w:iCs/>
      <w:color w:val="404040" w:themeColor="text1" w:themeTint="BF"/>
    </w:rPr>
  </w:style>
  <w:style w:type="character" w:customStyle="1" w:styleId="QuoteChar">
    <w:name w:val="Quote Char"/>
    <w:basedOn w:val="DefaultParagraphFont"/>
    <w:link w:val="Quote"/>
    <w:uiPriority w:val="29"/>
    <w:rsid w:val="00F55C22"/>
    <w:rPr>
      <w:i/>
      <w:iCs/>
      <w:color w:val="404040" w:themeColor="text1" w:themeTint="BF"/>
    </w:rPr>
  </w:style>
  <w:style w:type="paragraph" w:styleId="ListParagraph">
    <w:name w:val="List Paragraph"/>
    <w:basedOn w:val="Normal"/>
    <w:uiPriority w:val="34"/>
    <w:qFormat/>
    <w:rsid w:val="00F55C22"/>
    <w:pPr>
      <w:ind w:left="720"/>
      <w:contextualSpacing/>
    </w:pPr>
  </w:style>
  <w:style w:type="character" w:styleId="IntenseEmphasis">
    <w:name w:val="Intense Emphasis"/>
    <w:basedOn w:val="DefaultParagraphFont"/>
    <w:uiPriority w:val="21"/>
    <w:qFormat/>
    <w:rsid w:val="00F55C22"/>
    <w:rPr>
      <w:i/>
      <w:iCs/>
      <w:color w:val="2F5496" w:themeColor="accent1" w:themeShade="BF"/>
    </w:rPr>
  </w:style>
  <w:style w:type="paragraph" w:styleId="IntenseQuote">
    <w:name w:val="Intense Quote"/>
    <w:basedOn w:val="Normal"/>
    <w:next w:val="Normal"/>
    <w:link w:val="IntenseQuoteChar"/>
    <w:uiPriority w:val="30"/>
    <w:qFormat/>
    <w:rsid w:val="00F55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C22"/>
    <w:rPr>
      <w:i/>
      <w:iCs/>
      <w:color w:val="2F5496" w:themeColor="accent1" w:themeShade="BF"/>
    </w:rPr>
  </w:style>
  <w:style w:type="character" w:styleId="IntenseReference">
    <w:name w:val="Intense Reference"/>
    <w:basedOn w:val="DefaultParagraphFont"/>
    <w:uiPriority w:val="32"/>
    <w:qFormat/>
    <w:rsid w:val="00F55C22"/>
    <w:rPr>
      <w:b/>
      <w:bCs/>
      <w:smallCaps/>
      <w:color w:val="2F5496" w:themeColor="accent1" w:themeShade="BF"/>
      <w:spacing w:val="5"/>
    </w:rPr>
  </w:style>
  <w:style w:type="character" w:styleId="Hyperlink">
    <w:name w:val="Hyperlink"/>
    <w:basedOn w:val="DefaultParagraphFont"/>
    <w:uiPriority w:val="99"/>
    <w:unhideWhenUsed/>
    <w:rsid w:val="00F55C22"/>
    <w:rPr>
      <w:color w:val="0563C1" w:themeColor="hyperlink"/>
      <w:u w:val="single"/>
    </w:rPr>
  </w:style>
  <w:style w:type="character" w:styleId="UnresolvedMention">
    <w:name w:val="Unresolved Mention"/>
    <w:basedOn w:val="DefaultParagraphFont"/>
    <w:uiPriority w:val="99"/>
    <w:semiHidden/>
    <w:unhideWhenUsed/>
    <w:rsid w:val="00F55C22"/>
    <w:rPr>
      <w:color w:val="605E5C"/>
      <w:shd w:val="clear" w:color="auto" w:fill="E1DFDD"/>
    </w:rPr>
  </w:style>
  <w:style w:type="character" w:styleId="FollowedHyperlink">
    <w:name w:val="FollowedHyperlink"/>
    <w:basedOn w:val="DefaultParagraphFont"/>
    <w:uiPriority w:val="99"/>
    <w:semiHidden/>
    <w:unhideWhenUsed/>
    <w:rsid w:val="00F55C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ulador-bonos.kngadvisors.co.uk/storage/biblioteca/factsheet-isin-2027-maturity_pxEZf.pdf" TargetMode="External"/><Relationship Id="rId13" Type="http://schemas.openxmlformats.org/officeDocument/2006/relationships/hyperlink" Target="https://simulador-bonos.kngadvisors.co.uk/storage/biblioteca/talisman-programme-woodville-consultants-feb-2025_KFHB5.pdf" TargetMode="External"/><Relationship Id="rId18" Type="http://schemas.openxmlformats.org/officeDocument/2006/relationships/hyperlink" Target="https://simulador-bonos.kngadvisors.co.uk/storage/biblioteca/woodville-opinion-legal-2025_PwNrp.pdf" TargetMode="External"/><Relationship Id="rId3" Type="http://schemas.openxmlformats.org/officeDocument/2006/relationships/webSettings" Target="webSettings.xml"/><Relationship Id="rId21" Type="http://schemas.openxmlformats.org/officeDocument/2006/relationships/hyperlink" Target="https://find-and-update.company-information.service.gov.uk/company/08093201/filing-history" TargetMode="External"/><Relationship Id="rId7" Type="http://schemas.openxmlformats.org/officeDocument/2006/relationships/hyperlink" Target="https://simulador-bonos.kngadvisors.co.uk/storage/biblioteca/presentacin-woodville-julio-2025_2CuN7.pdf" TargetMode="External"/><Relationship Id="rId12" Type="http://schemas.openxmlformats.org/officeDocument/2006/relationships/hyperlink" Target="https://simulador-bonos.kngadvisors.co.uk/storage/biblioteca/investment-memorandum-isin-2027-usd_pybEi.pdf" TargetMode="External"/><Relationship Id="rId17" Type="http://schemas.openxmlformats.org/officeDocument/2006/relationships/hyperlink" Target="https://simulador-bonos.kngadvisors.com/storage/biblioteca/loan-book-diciembre-2025_BZZO5.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imulador-bonos.kngadvisors.co.uk/storage/biblioteca/carta-de-neville-registrars-confirmando-el-pago-del-vencimiento-de-gbp-y-eur-ago-2024_6fppP.pdf" TargetMode="External"/><Relationship Id="rId20" Type="http://schemas.openxmlformats.org/officeDocument/2006/relationships/hyperlink" Target="https://simulador-bonos.kngadvisors.com/storage/biblioteca/woodville-estados-financieros-consolidados-y-auditados-2023-2024-company-house_ZzydB.pdf" TargetMode="External"/><Relationship Id="rId1" Type="http://schemas.openxmlformats.org/officeDocument/2006/relationships/styles" Target="styles.xml"/><Relationship Id="rId6" Type="http://schemas.openxmlformats.org/officeDocument/2006/relationships/hyperlink" Target="https://www.youtube.com/watch?si=qCnmX12spxEs4AYG&amp;v=8RLbOx71WIs&amp;feature=youtu.be" TargetMode="External"/><Relationship Id="rId11" Type="http://schemas.openxmlformats.org/officeDocument/2006/relationships/hyperlink" Target="https://simulador-bonos.kngadvisors.co.uk/storage/biblioteca/factsheet-direct-investment-min-10-000_Cwi06.pdf" TargetMode="External"/><Relationship Id="rId24" Type="http://schemas.openxmlformats.org/officeDocument/2006/relationships/fontTable" Target="fontTable.xml"/><Relationship Id="rId5" Type="http://schemas.openxmlformats.org/officeDocument/2006/relationships/hyperlink" Target="https://www.youtube.com/watch?v=H4trbK2cJRo" TargetMode="External"/><Relationship Id="rId15" Type="http://schemas.openxmlformats.org/officeDocument/2006/relationships/hyperlink" Target="https://simulador-bonos.kngadvisors.co.uk/storage/biblioteca/carta-de-neville-registrars-confirmando-el-pago-del-vencimiento-de-usd-ago-2024_opN7G.pdf" TargetMode="External"/><Relationship Id="rId23" Type="http://schemas.openxmlformats.org/officeDocument/2006/relationships/hyperlink" Target="https://simulador-bonos.kngadvisors.co.uk/storage/biblioteca/woodville-decisin-de-corte-suprema-agosto-2025_5mgHJ.pdf" TargetMode="External"/><Relationship Id="rId10" Type="http://schemas.openxmlformats.org/officeDocument/2006/relationships/hyperlink" Target="https://simulador-bonos.kngadvisors.co.uk/storage/biblioteca/factsheet-direct-investment-min-500-000_U0MKD.pdf" TargetMode="External"/><Relationship Id="rId19" Type="http://schemas.openxmlformats.org/officeDocument/2006/relationships/hyperlink" Target="https://simulador-bonos.kngadvisors.co.uk/storage/biblioteca/next-wave-woodville-report-nov-2023_02s8D.pdf" TargetMode="External"/><Relationship Id="rId4" Type="http://schemas.openxmlformats.org/officeDocument/2006/relationships/hyperlink" Target="https://www.youtube.com/watch?v=SWvZ8ug1ezw" TargetMode="External"/><Relationship Id="rId9" Type="http://schemas.openxmlformats.org/officeDocument/2006/relationships/hyperlink" Target="https://simulador-bonos.kngadvisors.co.uk/storage/biblioteca/factsheet-direct-investment-min-10-000_Cwi06.pdf" TargetMode="External"/><Relationship Id="rId14" Type="http://schemas.openxmlformats.org/officeDocument/2006/relationships/hyperlink" Target="https://simulador-bonos.kngadvisors.co.uk/storage/biblioteca/investor-security_2BkYk.pdf" TargetMode="External"/><Relationship Id="rId22" Type="http://schemas.openxmlformats.org/officeDocument/2006/relationships/hyperlink" Target="https://simulador-bonos.kngadvisors.co.uk/storage/biblioteca/actualizacin-de-la-cuenta-woodville-2024-agosto-de-2025_ndGo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Emberson</dc:creator>
  <cp:keywords/>
  <dc:description/>
  <cp:lastModifiedBy>Neil Emberson</cp:lastModifiedBy>
  <cp:revision>18</cp:revision>
  <cp:lastPrinted>2026-01-20T13:09:00Z</cp:lastPrinted>
  <dcterms:created xsi:type="dcterms:W3CDTF">2025-11-24T01:14:00Z</dcterms:created>
  <dcterms:modified xsi:type="dcterms:W3CDTF">2026-01-20T16:30:00Z</dcterms:modified>
</cp:coreProperties>
</file>